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5EB04" w14:textId="614CBFB0" w:rsidR="0007083D" w:rsidRPr="0007083D" w:rsidRDefault="00425935" w:rsidP="00847F93">
      <w:pPr>
        <w:jc w:val="center"/>
        <w:rPr>
          <w:rFonts w:asciiTheme="majorBidi" w:hAnsiTheme="majorBidi" w:cstheme="majorBidi"/>
          <w:b/>
          <w:bCs/>
          <w:sz w:val="24"/>
          <w:szCs w:val="24"/>
        </w:rPr>
      </w:pPr>
      <w:r w:rsidRPr="004D4085">
        <w:rPr>
          <w:rFonts w:asciiTheme="majorBidi" w:hAnsiTheme="majorBidi" w:cstheme="majorBidi"/>
          <w:b/>
          <w:bCs/>
          <w:sz w:val="24"/>
          <w:szCs w:val="24"/>
        </w:rPr>
        <w:t>Résumé</w:t>
      </w:r>
    </w:p>
    <w:p w14:paraId="5CDCB405" w14:textId="77777777" w:rsidR="00425935" w:rsidRPr="004D4085" w:rsidRDefault="00425935" w:rsidP="004D4085">
      <w:pPr>
        <w:jc w:val="both"/>
        <w:rPr>
          <w:rFonts w:asciiTheme="majorBidi" w:hAnsiTheme="majorBidi" w:cstheme="majorBidi"/>
          <w:sz w:val="24"/>
          <w:szCs w:val="24"/>
        </w:rPr>
      </w:pPr>
      <w:r w:rsidRPr="004D4085">
        <w:rPr>
          <w:rFonts w:asciiTheme="majorBidi" w:hAnsiTheme="majorBidi" w:cstheme="majorBidi"/>
          <w:sz w:val="24"/>
          <w:szCs w:val="24"/>
        </w:rPr>
        <w:t xml:space="preserve">Cet article examine le rôle médiateur de la qualité de service dans la relation entre la gestion de la qualité totale (Total </w:t>
      </w:r>
      <w:proofErr w:type="spellStart"/>
      <w:r w:rsidRPr="004D4085">
        <w:rPr>
          <w:rFonts w:asciiTheme="majorBidi" w:hAnsiTheme="majorBidi" w:cstheme="majorBidi"/>
          <w:sz w:val="24"/>
          <w:szCs w:val="24"/>
        </w:rPr>
        <w:t>Quality</w:t>
      </w:r>
      <w:proofErr w:type="spellEnd"/>
      <w:r w:rsidRPr="004D4085">
        <w:rPr>
          <w:rFonts w:asciiTheme="majorBidi" w:hAnsiTheme="majorBidi" w:cstheme="majorBidi"/>
          <w:sz w:val="24"/>
          <w:szCs w:val="24"/>
        </w:rPr>
        <w:t xml:space="preserve"> Management – TQM) et la performance bancaire, à partir d’une étude empirique appliquée au secteur bancaire mauritanien. S’inscrivant dans une approche quantitative, la recherche repose sur des données collectées auprès des employés et des clients des banques commerciales opérant en Mauritanie. Les pratiques du TQM sont appréhendées à travers plusieurs dimensions clés, notamment l’orientation vers les employés, l’engagement du personnel, la formation, le leadership managérial et l’amélioration continue, tandis que la qualité de service est mesurée à l’aide des dimensions issues du modèle SERVQUAL. La performance bancaire est évaluée à partir d’indicateurs financiers, en particulier la rentabilité des fonds propres (ROE).</w:t>
      </w:r>
    </w:p>
    <w:p w14:paraId="19F3169C" w14:textId="77777777" w:rsidR="00425935" w:rsidRPr="004D4085" w:rsidRDefault="00425935" w:rsidP="004D4085">
      <w:pPr>
        <w:jc w:val="both"/>
        <w:rPr>
          <w:rFonts w:asciiTheme="majorBidi" w:hAnsiTheme="majorBidi" w:cstheme="majorBidi"/>
          <w:sz w:val="24"/>
          <w:szCs w:val="24"/>
        </w:rPr>
      </w:pPr>
      <w:r w:rsidRPr="004D4085">
        <w:rPr>
          <w:rFonts w:asciiTheme="majorBidi" w:hAnsiTheme="majorBidi" w:cstheme="majorBidi"/>
          <w:sz w:val="24"/>
          <w:szCs w:val="24"/>
        </w:rPr>
        <w:t>Les résultats issus des analyses statistiques montrent que la gestion de la qualité totale exerce un effet positif et significatif sur la performance bancaire. Toutefois, cet effet apparaît essentiellement indirect, la qualité de service jouant un rôle médiateur déterminant dans cette relation. En effet, les pratiques internes du TQM contribuent à améliorer la qualité de service perçue par les clients, laquelle constitue à son tour un levier essentiel de création de valeur et d’amélioration de la performance financière des banques. Ces résultats confirment la pertinence du modèle de la chaîne service-profit dans le contexte bancaire des pays en développement.</w:t>
      </w:r>
    </w:p>
    <w:p w14:paraId="1DB71CA4" w14:textId="77777777" w:rsidR="00425935" w:rsidRPr="004D4085" w:rsidRDefault="00425935" w:rsidP="004D4085">
      <w:pPr>
        <w:jc w:val="both"/>
        <w:rPr>
          <w:rFonts w:asciiTheme="majorBidi" w:hAnsiTheme="majorBidi" w:cstheme="majorBidi"/>
          <w:sz w:val="24"/>
          <w:szCs w:val="24"/>
        </w:rPr>
      </w:pPr>
      <w:r w:rsidRPr="004D4085">
        <w:rPr>
          <w:rFonts w:asciiTheme="majorBidi" w:hAnsiTheme="majorBidi" w:cstheme="majorBidi"/>
          <w:sz w:val="24"/>
          <w:szCs w:val="24"/>
        </w:rPr>
        <w:t>Sur le plan théorique, cette recherche enrichit la littérature relative au TQM et à la performance bancaire en intégrant explicitement la qualité de service comme mécanisme explicatif central. Sur le plan managérial, elle met en évidence l’importance pour les banques mauritaniennes d’investir dans les pratiques de gestion de la qualité afin de renforcer durablement leur performance financière à travers l’amélioration de la qualité de service.</w:t>
      </w:r>
    </w:p>
    <w:p w14:paraId="69D3C366" w14:textId="1DDD8D54" w:rsidR="00425935" w:rsidRPr="004D4085" w:rsidRDefault="00425935" w:rsidP="004D4085">
      <w:pPr>
        <w:jc w:val="both"/>
        <w:rPr>
          <w:rFonts w:asciiTheme="majorBidi" w:hAnsiTheme="majorBidi" w:cstheme="majorBidi"/>
          <w:sz w:val="24"/>
          <w:szCs w:val="24"/>
        </w:rPr>
      </w:pPr>
      <w:r w:rsidRPr="004D4085">
        <w:rPr>
          <w:rFonts w:asciiTheme="majorBidi" w:hAnsiTheme="majorBidi" w:cstheme="majorBidi"/>
          <w:sz w:val="24"/>
          <w:szCs w:val="24"/>
        </w:rPr>
        <w:t>Mots-clés : Gestion de la qualité totale (TQM) ; Qualité de service ; Performance bancaire ; Médiation ; Mauritanie.</w:t>
      </w:r>
    </w:p>
    <w:p w14:paraId="7BFC22BA" w14:textId="1A3C2A6D" w:rsidR="00425935" w:rsidRPr="004D4085" w:rsidRDefault="00425935" w:rsidP="004D4085">
      <w:pPr>
        <w:jc w:val="both"/>
        <w:rPr>
          <w:rFonts w:asciiTheme="majorBidi" w:hAnsiTheme="majorBidi" w:cstheme="majorBidi"/>
          <w:sz w:val="24"/>
          <w:szCs w:val="24"/>
          <w:lang w:val="en-US"/>
        </w:rPr>
      </w:pPr>
      <w:r w:rsidRPr="004D4085">
        <w:rPr>
          <w:rFonts w:asciiTheme="majorBidi" w:hAnsiTheme="majorBidi" w:cstheme="majorBidi"/>
          <w:b/>
          <w:bCs/>
          <w:sz w:val="24"/>
          <w:szCs w:val="24"/>
          <w:lang w:val="en-US"/>
        </w:rPr>
        <w:t>Abstract</w:t>
      </w:r>
      <w:r w:rsidRPr="004D4085">
        <w:rPr>
          <w:rFonts w:asciiTheme="majorBidi" w:hAnsiTheme="majorBidi" w:cstheme="majorBidi"/>
          <w:sz w:val="24"/>
          <w:szCs w:val="24"/>
          <w:lang w:val="en-US"/>
        </w:rPr>
        <w:t xml:space="preserve"> </w:t>
      </w:r>
    </w:p>
    <w:p w14:paraId="12CD3162" w14:textId="77777777" w:rsidR="00425935" w:rsidRPr="004D4085" w:rsidRDefault="00425935" w:rsidP="004D4085">
      <w:pPr>
        <w:jc w:val="both"/>
        <w:rPr>
          <w:rFonts w:asciiTheme="majorBidi" w:hAnsiTheme="majorBidi" w:cstheme="majorBidi"/>
          <w:sz w:val="24"/>
          <w:szCs w:val="24"/>
          <w:lang w:val="en-US"/>
        </w:rPr>
      </w:pPr>
      <w:r w:rsidRPr="004D4085">
        <w:rPr>
          <w:rFonts w:asciiTheme="majorBidi" w:hAnsiTheme="majorBidi" w:cstheme="majorBidi"/>
          <w:sz w:val="24"/>
          <w:szCs w:val="24"/>
          <w:lang w:val="en-US"/>
        </w:rPr>
        <w:t xml:space="preserve">This paper investigates the mediating role of service quality in the relationship between Total Quality Management (TQM) and banking performance, based on an empirical study of the Mauritanian banking sector. Using a quantitative research design, data were collected from employees and customers of commercial banks operating in Mauritania. TQM practices are captured through key dimensions such as employee orientation, staff involvement, training, managerial leadership, and continuous improvement, while service quality is measured using </w:t>
      </w:r>
      <w:r w:rsidRPr="004D4085">
        <w:rPr>
          <w:rFonts w:asciiTheme="majorBidi" w:hAnsiTheme="majorBidi" w:cstheme="majorBidi"/>
          <w:sz w:val="24"/>
          <w:szCs w:val="24"/>
          <w:lang w:val="en-US"/>
        </w:rPr>
        <w:lastRenderedPageBreak/>
        <w:t>the SERVQUAL dimensions. Banking performance is assessed through financial indicators, particularly return on equity (ROE).</w:t>
      </w:r>
    </w:p>
    <w:p w14:paraId="64EC4129" w14:textId="77777777" w:rsidR="00425935" w:rsidRPr="004D4085" w:rsidRDefault="00425935" w:rsidP="004D4085">
      <w:pPr>
        <w:jc w:val="both"/>
        <w:rPr>
          <w:rFonts w:asciiTheme="majorBidi" w:hAnsiTheme="majorBidi" w:cstheme="majorBidi"/>
          <w:sz w:val="24"/>
          <w:szCs w:val="24"/>
          <w:lang w:val="en-US"/>
        </w:rPr>
      </w:pPr>
      <w:r w:rsidRPr="004D4085">
        <w:rPr>
          <w:rFonts w:asciiTheme="majorBidi" w:hAnsiTheme="majorBidi" w:cstheme="majorBidi"/>
          <w:sz w:val="24"/>
          <w:szCs w:val="24"/>
          <w:lang w:val="en-US"/>
        </w:rPr>
        <w:t>The empirical findings reveal that Total Quality Management has a positive and significant impact on banking performance. However, this impact is mainly indirect, as service quality plays a crucial mediating role in the relationship between TQM practices and financial performance. Specifically, internal quality management practices enhance perceived service quality, which in turn drives value creation and improves banks’ financial outcomes. These results support the relevance of the service-profit chain model within the context of developing economies’ banking sectors.</w:t>
      </w:r>
    </w:p>
    <w:p w14:paraId="568CA373" w14:textId="77777777" w:rsidR="00425935" w:rsidRPr="004D4085" w:rsidRDefault="00425935" w:rsidP="004D4085">
      <w:pPr>
        <w:jc w:val="both"/>
        <w:rPr>
          <w:rFonts w:asciiTheme="majorBidi" w:hAnsiTheme="majorBidi" w:cstheme="majorBidi"/>
          <w:sz w:val="24"/>
          <w:szCs w:val="24"/>
          <w:lang w:val="en-US"/>
        </w:rPr>
      </w:pPr>
      <w:r w:rsidRPr="004D4085">
        <w:rPr>
          <w:rFonts w:asciiTheme="majorBidi" w:hAnsiTheme="majorBidi" w:cstheme="majorBidi"/>
          <w:sz w:val="24"/>
          <w:szCs w:val="24"/>
          <w:lang w:val="en-US"/>
        </w:rPr>
        <w:t>From a theoretical perspective, this study contributes to the literature on TQM and banking performance by explicitly highlighting service quality as a key explanatory mechanism. From a managerial standpoint, the findings emphasize the need for Mauritanian banks to strengthen quality management practices in order to achieve sustainable financial performance through improved service quality.</w:t>
      </w:r>
    </w:p>
    <w:p w14:paraId="6C675FA5" w14:textId="77777777" w:rsidR="00425935" w:rsidRPr="004D4085" w:rsidRDefault="00425935" w:rsidP="004D4085">
      <w:pPr>
        <w:jc w:val="both"/>
        <w:rPr>
          <w:rFonts w:asciiTheme="majorBidi" w:hAnsiTheme="majorBidi" w:cstheme="majorBidi"/>
          <w:sz w:val="24"/>
          <w:szCs w:val="24"/>
          <w:lang w:val="en-US"/>
        </w:rPr>
      </w:pPr>
      <w:r w:rsidRPr="004D4085">
        <w:rPr>
          <w:rFonts w:asciiTheme="majorBidi" w:hAnsiTheme="majorBidi" w:cstheme="majorBidi"/>
          <w:sz w:val="24"/>
          <w:szCs w:val="24"/>
          <w:lang w:val="en-US"/>
        </w:rPr>
        <w:t>Keywords: Total Quality Management (TQM); Service Quality; Banking Performance; Mediation; Mauritania.</w:t>
      </w:r>
    </w:p>
    <w:p w14:paraId="511752FD" w14:textId="77777777" w:rsidR="00425935" w:rsidRPr="004D4085" w:rsidRDefault="00425935" w:rsidP="004D4085">
      <w:pPr>
        <w:jc w:val="both"/>
        <w:rPr>
          <w:rFonts w:asciiTheme="majorBidi" w:hAnsiTheme="majorBidi" w:cstheme="majorBidi"/>
          <w:sz w:val="24"/>
          <w:szCs w:val="24"/>
          <w:rtl/>
        </w:rPr>
      </w:pPr>
    </w:p>
    <w:p w14:paraId="2B66ED83" w14:textId="24BB7EB3" w:rsidR="00723F08" w:rsidRPr="004D4085" w:rsidRDefault="00723F08" w:rsidP="00847F93">
      <w:pPr>
        <w:jc w:val="center"/>
        <w:rPr>
          <w:rFonts w:asciiTheme="majorBidi" w:hAnsiTheme="majorBidi" w:cstheme="majorBidi"/>
          <w:b/>
          <w:bCs/>
          <w:sz w:val="24"/>
          <w:szCs w:val="24"/>
        </w:rPr>
      </w:pPr>
      <w:r w:rsidRPr="004D4085">
        <w:rPr>
          <w:rFonts w:asciiTheme="majorBidi" w:hAnsiTheme="majorBidi" w:cstheme="majorBidi"/>
          <w:b/>
          <w:bCs/>
          <w:sz w:val="24"/>
          <w:szCs w:val="24"/>
        </w:rPr>
        <w:t>1. Introduction</w:t>
      </w:r>
    </w:p>
    <w:p w14:paraId="26B287B1" w14:textId="77777777" w:rsidR="00723F08" w:rsidRPr="004D4085" w:rsidRDefault="00723F08" w:rsidP="004D4085">
      <w:pPr>
        <w:jc w:val="both"/>
        <w:rPr>
          <w:rFonts w:asciiTheme="majorBidi" w:hAnsiTheme="majorBidi" w:cstheme="majorBidi"/>
          <w:sz w:val="24"/>
          <w:szCs w:val="24"/>
        </w:rPr>
      </w:pPr>
      <w:r w:rsidRPr="004D4085">
        <w:rPr>
          <w:rFonts w:asciiTheme="majorBidi" w:hAnsiTheme="majorBidi" w:cstheme="majorBidi"/>
          <w:sz w:val="24"/>
          <w:szCs w:val="24"/>
        </w:rPr>
        <w:t xml:space="preserve">Dans un contexte bancaire marqué par une intensification de la concurrence, une transformation numérique accélérée et des exigences croissantes des clients, la performance des banques ne peut plus être appréhendée uniquement à travers des indicateurs financiers traditionnels. Elle dépend de plus en plus de la capacité des établissements bancaires à offrir des services de qualité, à satisfaire durablement leurs clients et à mobiliser efficacement leurs ressources humaines. Dans ce cadre, la gestion de la qualité totale (Total </w:t>
      </w:r>
      <w:proofErr w:type="spellStart"/>
      <w:r w:rsidRPr="004D4085">
        <w:rPr>
          <w:rFonts w:asciiTheme="majorBidi" w:hAnsiTheme="majorBidi" w:cstheme="majorBidi"/>
          <w:sz w:val="24"/>
          <w:szCs w:val="24"/>
        </w:rPr>
        <w:t>Quality</w:t>
      </w:r>
      <w:proofErr w:type="spellEnd"/>
      <w:r w:rsidRPr="004D4085">
        <w:rPr>
          <w:rFonts w:asciiTheme="majorBidi" w:hAnsiTheme="majorBidi" w:cstheme="majorBidi"/>
          <w:sz w:val="24"/>
          <w:szCs w:val="24"/>
        </w:rPr>
        <w:t xml:space="preserve"> Management – TQM) s’est imposée comme une approche managériale stratégique visant l’amélioration continue des processus, l’orientation client, l’implication du personnel et l’engagement de la direction générale.</w:t>
      </w:r>
    </w:p>
    <w:p w14:paraId="2A0C679F" w14:textId="77777777" w:rsidR="00723F08" w:rsidRPr="004D4085" w:rsidRDefault="00723F08" w:rsidP="004D4085">
      <w:pPr>
        <w:jc w:val="both"/>
        <w:rPr>
          <w:rFonts w:asciiTheme="majorBidi" w:hAnsiTheme="majorBidi" w:cstheme="majorBidi"/>
          <w:sz w:val="24"/>
          <w:szCs w:val="24"/>
        </w:rPr>
      </w:pPr>
      <w:r w:rsidRPr="004D4085">
        <w:rPr>
          <w:rFonts w:asciiTheme="majorBidi" w:hAnsiTheme="majorBidi" w:cstheme="majorBidi"/>
          <w:sz w:val="24"/>
          <w:szCs w:val="24"/>
        </w:rPr>
        <w:t>La littérature récente souligne que le TQM constitue un levier essentiel d’amélioration de la performance organisationnelle et financière, en particulier dans le secteur des services, où la qualité perçue joue un rôle déterminant dans la création de valeur (Psomas &amp; Antony, 2016 ; Talib, 2020). Dans le secteur bancaire, caractérisé par une forte intensité relationnelle et une dépendance accrue à la confiance des clients, la mise en œuvre effective des pratiques de TQM contribue à renforcer la fiabilité des services, la réactivité du personnel et la sécurité des transactions, éléments clés de la performance globale des banques (</w:t>
      </w:r>
      <w:proofErr w:type="spellStart"/>
      <w:r w:rsidRPr="004D4085">
        <w:rPr>
          <w:rFonts w:asciiTheme="majorBidi" w:hAnsiTheme="majorBidi" w:cstheme="majorBidi"/>
          <w:sz w:val="24"/>
          <w:szCs w:val="24"/>
        </w:rPr>
        <w:t>Kafetzopoulos</w:t>
      </w:r>
      <w:proofErr w:type="spellEnd"/>
      <w:r w:rsidRPr="004D4085">
        <w:rPr>
          <w:rFonts w:asciiTheme="majorBidi" w:hAnsiTheme="majorBidi" w:cstheme="majorBidi"/>
          <w:sz w:val="24"/>
          <w:szCs w:val="24"/>
        </w:rPr>
        <w:t xml:space="preserve"> et al., 2019 ; Khan et al., 2023).</w:t>
      </w:r>
    </w:p>
    <w:p w14:paraId="38EFFBD4" w14:textId="77777777" w:rsidR="00723F08" w:rsidRPr="004D4085" w:rsidRDefault="00723F08" w:rsidP="004D4085">
      <w:pPr>
        <w:jc w:val="both"/>
        <w:rPr>
          <w:rFonts w:asciiTheme="majorBidi" w:hAnsiTheme="majorBidi" w:cstheme="majorBidi"/>
          <w:sz w:val="24"/>
          <w:szCs w:val="24"/>
        </w:rPr>
      </w:pPr>
      <w:r w:rsidRPr="004D4085">
        <w:rPr>
          <w:rFonts w:asciiTheme="majorBidi" w:hAnsiTheme="majorBidi" w:cstheme="majorBidi"/>
          <w:sz w:val="24"/>
          <w:szCs w:val="24"/>
        </w:rPr>
        <w:t xml:space="preserve">Par ailleurs, plusieurs études empiriques ont mis en évidence que l’impact du TQM sur la performance bancaire n’est pas uniquement direct, mais qu’il s’opère à travers des mécanismes intermédiaires, parmi lesquels la qualité de service occupe une place centrale. En effet, la qualité de service, souvent appréhendée à travers les dimensions du modèle SERVQUAL, constitue un déterminant majeur de la satisfaction et de la fidélité des clients, influençant indirectement la </w:t>
      </w:r>
      <w:r w:rsidRPr="004D4085">
        <w:rPr>
          <w:rFonts w:asciiTheme="majorBidi" w:hAnsiTheme="majorBidi" w:cstheme="majorBidi"/>
          <w:sz w:val="24"/>
          <w:szCs w:val="24"/>
        </w:rPr>
        <w:lastRenderedPageBreak/>
        <w:t>performance financière des institutions bancaires (</w:t>
      </w:r>
      <w:proofErr w:type="spellStart"/>
      <w:r w:rsidRPr="004D4085">
        <w:rPr>
          <w:rFonts w:asciiTheme="majorBidi" w:hAnsiTheme="majorBidi" w:cstheme="majorBidi"/>
          <w:sz w:val="24"/>
          <w:szCs w:val="24"/>
        </w:rPr>
        <w:t>Parasuraman</w:t>
      </w:r>
      <w:proofErr w:type="spellEnd"/>
      <w:r w:rsidRPr="004D4085">
        <w:rPr>
          <w:rFonts w:asciiTheme="majorBidi" w:hAnsiTheme="majorBidi" w:cstheme="majorBidi"/>
          <w:sz w:val="24"/>
          <w:szCs w:val="24"/>
        </w:rPr>
        <w:t xml:space="preserve"> et al., 2018 ; Nguyen &amp; Pham, 2023). Des travaux récents confirment que la qualité de service joue un rôle médiateur significatif dans la relation entre les pratiques de TQM et la performance organisationnelle et financière (Talib &amp; Rahman, 2024 ; Al-</w:t>
      </w:r>
      <w:proofErr w:type="spellStart"/>
      <w:r w:rsidRPr="004D4085">
        <w:rPr>
          <w:rFonts w:asciiTheme="majorBidi" w:hAnsiTheme="majorBidi" w:cstheme="majorBidi"/>
          <w:sz w:val="24"/>
          <w:szCs w:val="24"/>
        </w:rPr>
        <w:t>Hawary</w:t>
      </w:r>
      <w:proofErr w:type="spellEnd"/>
      <w:r w:rsidRPr="004D4085">
        <w:rPr>
          <w:rFonts w:asciiTheme="majorBidi" w:hAnsiTheme="majorBidi" w:cstheme="majorBidi"/>
          <w:sz w:val="24"/>
          <w:szCs w:val="24"/>
        </w:rPr>
        <w:t>, 2024).</w:t>
      </w:r>
    </w:p>
    <w:p w14:paraId="699CCF47" w14:textId="77777777" w:rsidR="00723F08" w:rsidRPr="004D4085" w:rsidRDefault="00723F08" w:rsidP="004D4085">
      <w:pPr>
        <w:jc w:val="both"/>
        <w:rPr>
          <w:rFonts w:asciiTheme="majorBidi" w:hAnsiTheme="majorBidi" w:cstheme="majorBidi"/>
          <w:sz w:val="24"/>
          <w:szCs w:val="24"/>
        </w:rPr>
      </w:pPr>
      <w:r w:rsidRPr="004D4085">
        <w:rPr>
          <w:rFonts w:asciiTheme="majorBidi" w:hAnsiTheme="majorBidi" w:cstheme="majorBidi"/>
          <w:sz w:val="24"/>
          <w:szCs w:val="24"/>
        </w:rPr>
        <w:t>Malgré l’abondance des recherches portant sur la gestion de la qualité totale et la performance bancaire dans les économies développées et certains pays émergents, les études empiriques demeurent limitées dans les contextes africains, et plus particulièrement en Mauritanie. Or, le secteur bancaire mauritanien présente des spécificités structurelles et organisationnelles susceptibles d’influencer l’adoption des pratiques de TQM, la qualité de service offerte et les niveaux de performance observés. Cette insuffisance de travaux empiriques crée un vide scientifique quant à la compréhension des mécanismes par lesquels la gestion de la qualité totale contribue à la performance bancaire dans ce contexte.</w:t>
      </w:r>
    </w:p>
    <w:p w14:paraId="3FC8B9C6" w14:textId="77777777" w:rsidR="00723F08" w:rsidRPr="004D4085" w:rsidRDefault="00723F08" w:rsidP="004D4085">
      <w:pPr>
        <w:jc w:val="both"/>
        <w:rPr>
          <w:rFonts w:asciiTheme="majorBidi" w:hAnsiTheme="majorBidi" w:cstheme="majorBidi"/>
          <w:sz w:val="24"/>
          <w:szCs w:val="24"/>
        </w:rPr>
      </w:pPr>
      <w:r w:rsidRPr="004D4085">
        <w:rPr>
          <w:rFonts w:asciiTheme="majorBidi" w:hAnsiTheme="majorBidi" w:cstheme="majorBidi"/>
          <w:sz w:val="24"/>
          <w:szCs w:val="24"/>
        </w:rPr>
        <w:t>C’est dans cette perspective que s’inscrit le présent article, dont l’objectif est d’analyser le rôle médiateur de la qualité de service dans la relation entre la gestion de la qualité totale et la performance bancaire, à travers une étude empirique appliquée au secteur bancaire mauritanien. Plus précisément, cette recherche vise à examiner l’effet des pratiques de TQM sur la qualité de service perçue par les clients, ainsi que l’impact de cette dernière sur la performance financière des banques, mesurée par la rentabilité des fonds propres (ROE).</w:t>
      </w:r>
    </w:p>
    <w:p w14:paraId="128BB8C0" w14:textId="77777777" w:rsidR="00723F08" w:rsidRPr="004D4085" w:rsidRDefault="00723F08" w:rsidP="004D4085">
      <w:pPr>
        <w:jc w:val="both"/>
        <w:rPr>
          <w:rFonts w:asciiTheme="majorBidi" w:hAnsiTheme="majorBidi" w:cstheme="majorBidi"/>
          <w:sz w:val="24"/>
          <w:szCs w:val="24"/>
        </w:rPr>
      </w:pPr>
      <w:r w:rsidRPr="004D4085">
        <w:rPr>
          <w:rFonts w:asciiTheme="majorBidi" w:hAnsiTheme="majorBidi" w:cstheme="majorBidi"/>
          <w:sz w:val="24"/>
          <w:szCs w:val="24"/>
        </w:rPr>
        <w:t>L’apport principal de cet article réside dans la validation empirique d’un modèle intégrateur reliant le TQM, la qualité de service et la performance bancaire dans un contexte encore peu exploré par la littérature. Sur le plan théorique, il contribue à enrichir les travaux existants en mettant en évidence le rôle central de la qualité de service comme mécanisme explicatif de la performance bancaire. Sur le plan managérial, il offre des enseignements opérationnels à destination des dirigeants bancaires, en soulignant l’importance d’une intégration effective des pratiques de TQM afin d’améliorer durablement la qualité de service et la performance financière des banques mauritaniennes.</w:t>
      </w:r>
    </w:p>
    <w:p w14:paraId="4F074033" w14:textId="77777777" w:rsidR="00723F08" w:rsidRPr="004D4085" w:rsidRDefault="00723F08" w:rsidP="004D4085">
      <w:pPr>
        <w:jc w:val="both"/>
        <w:rPr>
          <w:rFonts w:asciiTheme="majorBidi" w:hAnsiTheme="majorBidi" w:cstheme="majorBidi"/>
          <w:b/>
          <w:bCs/>
          <w:sz w:val="24"/>
          <w:szCs w:val="24"/>
        </w:rPr>
      </w:pPr>
      <w:r w:rsidRPr="004D4085">
        <w:rPr>
          <w:rFonts w:asciiTheme="majorBidi" w:hAnsiTheme="majorBidi" w:cstheme="majorBidi"/>
          <w:b/>
          <w:bCs/>
          <w:sz w:val="24"/>
          <w:szCs w:val="24"/>
        </w:rPr>
        <w:t>2.1. Gestion de la qualité totale (TQM) et performance bancaire</w:t>
      </w:r>
    </w:p>
    <w:p w14:paraId="6436C8B4" w14:textId="77777777" w:rsidR="00723F08" w:rsidRPr="004D4085" w:rsidRDefault="00723F08" w:rsidP="004D4085">
      <w:pPr>
        <w:jc w:val="both"/>
        <w:rPr>
          <w:rFonts w:asciiTheme="majorBidi" w:hAnsiTheme="majorBidi" w:cstheme="majorBidi"/>
          <w:sz w:val="24"/>
          <w:szCs w:val="24"/>
        </w:rPr>
      </w:pPr>
      <w:r w:rsidRPr="004D4085">
        <w:rPr>
          <w:rFonts w:asciiTheme="majorBidi" w:hAnsiTheme="majorBidi" w:cstheme="majorBidi"/>
          <w:sz w:val="24"/>
          <w:szCs w:val="24"/>
        </w:rPr>
        <w:t xml:space="preserve">La gestion de la qualité totale (Total </w:t>
      </w:r>
      <w:proofErr w:type="spellStart"/>
      <w:r w:rsidRPr="004D4085">
        <w:rPr>
          <w:rFonts w:asciiTheme="majorBidi" w:hAnsiTheme="majorBidi" w:cstheme="majorBidi"/>
          <w:sz w:val="24"/>
          <w:szCs w:val="24"/>
        </w:rPr>
        <w:t>Quality</w:t>
      </w:r>
      <w:proofErr w:type="spellEnd"/>
      <w:r w:rsidRPr="004D4085">
        <w:rPr>
          <w:rFonts w:asciiTheme="majorBidi" w:hAnsiTheme="majorBidi" w:cstheme="majorBidi"/>
          <w:sz w:val="24"/>
          <w:szCs w:val="24"/>
        </w:rPr>
        <w:t xml:space="preserve"> Management – TQM) est reconnue comme une approche managériale intégrée visant l’amélioration continue des processus, des services et des résultats organisationnels, à travers l’implication de l’ensemble des acteurs de l’organisation et l’orientation vers la satisfaction des parties prenantes. Depuis les travaux fondateurs sur le TQM, la littérature récente met en évidence son évolution vers un levier stratégique de performance globale, dépassant la simple logique de conformité pour s’inscrire dans une dynamique de création de valeur durable (Psomas &amp; Antony, 2016 ; Talib, 2020).</w:t>
      </w:r>
    </w:p>
    <w:p w14:paraId="24BE9BFA" w14:textId="77777777" w:rsidR="00723F08" w:rsidRPr="004D4085" w:rsidRDefault="00723F08" w:rsidP="004D4085">
      <w:pPr>
        <w:jc w:val="both"/>
        <w:rPr>
          <w:rFonts w:asciiTheme="majorBidi" w:hAnsiTheme="majorBidi" w:cstheme="majorBidi"/>
          <w:sz w:val="24"/>
          <w:szCs w:val="24"/>
        </w:rPr>
      </w:pPr>
      <w:r w:rsidRPr="004D4085">
        <w:rPr>
          <w:rFonts w:asciiTheme="majorBidi" w:hAnsiTheme="majorBidi" w:cstheme="majorBidi"/>
          <w:sz w:val="24"/>
          <w:szCs w:val="24"/>
        </w:rPr>
        <w:t xml:space="preserve">Dans le secteur bancaire, le TQM revêt une importance particulière en raison de la nature intangible des services financiers, de la forte intensité relationnelle avec les clients et du rôle central de la confiance dans les relations bancaires. Les banques sont ainsi appelées à structurer leurs pratiques de gestion autour de principes clés tels que le leadership de la direction générale, l’implication et la formation des employés, l’orientation client et l’amélioration continue des processus. Ces dimensions constituent les fondements du TQM et conditionnent sa capacité à </w:t>
      </w:r>
      <w:r w:rsidRPr="004D4085">
        <w:rPr>
          <w:rFonts w:asciiTheme="majorBidi" w:hAnsiTheme="majorBidi" w:cstheme="majorBidi"/>
          <w:sz w:val="24"/>
          <w:szCs w:val="24"/>
        </w:rPr>
        <w:lastRenderedPageBreak/>
        <w:t>influencer positivement la performance organisationnelle et financière (</w:t>
      </w:r>
      <w:proofErr w:type="spellStart"/>
      <w:r w:rsidRPr="004D4085">
        <w:rPr>
          <w:rFonts w:asciiTheme="majorBidi" w:hAnsiTheme="majorBidi" w:cstheme="majorBidi"/>
          <w:sz w:val="24"/>
          <w:szCs w:val="24"/>
        </w:rPr>
        <w:t>Kafetzopoulos</w:t>
      </w:r>
      <w:proofErr w:type="spellEnd"/>
      <w:r w:rsidRPr="004D4085">
        <w:rPr>
          <w:rFonts w:asciiTheme="majorBidi" w:hAnsiTheme="majorBidi" w:cstheme="majorBidi"/>
          <w:sz w:val="24"/>
          <w:szCs w:val="24"/>
        </w:rPr>
        <w:t xml:space="preserve"> et al., 2019 ; Khan et al., 2023).</w:t>
      </w:r>
    </w:p>
    <w:p w14:paraId="3F727F97" w14:textId="77777777" w:rsidR="00723F08" w:rsidRPr="004D4085" w:rsidRDefault="00723F08" w:rsidP="004D4085">
      <w:pPr>
        <w:jc w:val="both"/>
        <w:rPr>
          <w:rFonts w:asciiTheme="majorBidi" w:hAnsiTheme="majorBidi" w:cstheme="majorBidi"/>
          <w:sz w:val="24"/>
          <w:szCs w:val="24"/>
        </w:rPr>
      </w:pPr>
      <w:r w:rsidRPr="004D4085">
        <w:rPr>
          <w:rFonts w:asciiTheme="majorBidi" w:hAnsiTheme="majorBidi" w:cstheme="majorBidi"/>
          <w:sz w:val="24"/>
          <w:szCs w:val="24"/>
        </w:rPr>
        <w:t xml:space="preserve">Plusieurs études empiriques ont confirmé l’existence d’une relation positive et significative entre l’adoption des pratiques de TQM et la performance bancaire. Selon Psomas et Jaca (2016), les organisations de services ayant intégré le TQM dans leur stratégie globale enregistrent de meilleures performances opérationnelles et financières, en raison d’une plus grande efficacité des processus et d’une réduction des coûts liés à la non-qualité. Dans le même sens, </w:t>
      </w:r>
      <w:proofErr w:type="spellStart"/>
      <w:r w:rsidRPr="004D4085">
        <w:rPr>
          <w:rFonts w:asciiTheme="majorBidi" w:hAnsiTheme="majorBidi" w:cstheme="majorBidi"/>
          <w:sz w:val="24"/>
          <w:szCs w:val="24"/>
        </w:rPr>
        <w:t>Kafetzopoulos</w:t>
      </w:r>
      <w:proofErr w:type="spellEnd"/>
      <w:r w:rsidRPr="004D4085">
        <w:rPr>
          <w:rFonts w:asciiTheme="majorBidi" w:hAnsiTheme="majorBidi" w:cstheme="majorBidi"/>
          <w:sz w:val="24"/>
          <w:szCs w:val="24"/>
        </w:rPr>
        <w:t xml:space="preserve">, </w:t>
      </w:r>
      <w:proofErr w:type="spellStart"/>
      <w:r w:rsidRPr="004D4085">
        <w:rPr>
          <w:rFonts w:asciiTheme="majorBidi" w:hAnsiTheme="majorBidi" w:cstheme="majorBidi"/>
          <w:sz w:val="24"/>
          <w:szCs w:val="24"/>
        </w:rPr>
        <w:t>Gotzamani</w:t>
      </w:r>
      <w:proofErr w:type="spellEnd"/>
      <w:r w:rsidRPr="004D4085">
        <w:rPr>
          <w:rFonts w:asciiTheme="majorBidi" w:hAnsiTheme="majorBidi" w:cstheme="majorBidi"/>
          <w:sz w:val="24"/>
          <w:szCs w:val="24"/>
        </w:rPr>
        <w:t xml:space="preserve"> et Psomas (2019) montrent que l’orientation client et l’amélioration continue, en tant que composantes essentielles du TQM, contribuent directement à l’amélioration des résultats financiers des institutions financières.</w:t>
      </w:r>
    </w:p>
    <w:p w14:paraId="26959F6B" w14:textId="77777777" w:rsidR="00723F08" w:rsidRPr="004D4085" w:rsidRDefault="00723F08" w:rsidP="004D4085">
      <w:pPr>
        <w:jc w:val="both"/>
        <w:rPr>
          <w:rFonts w:asciiTheme="majorBidi" w:hAnsiTheme="majorBidi" w:cstheme="majorBidi"/>
          <w:sz w:val="24"/>
          <w:szCs w:val="24"/>
        </w:rPr>
      </w:pPr>
      <w:r w:rsidRPr="004D4085">
        <w:rPr>
          <w:rFonts w:asciiTheme="majorBidi" w:hAnsiTheme="majorBidi" w:cstheme="majorBidi"/>
          <w:sz w:val="24"/>
          <w:szCs w:val="24"/>
        </w:rPr>
        <w:t>Les recherches récentes soulignent également que l’impact du TQM sur la performance bancaire est renforcé par le rôle du leadership et de l’engagement managérial. Un leadership orienté qualité favorise la diffusion d’une culture organisationnelle axée sur l’excellence, l’apprentissage organisationnel et la responsabilisation des employés, éléments clés pour améliorer la performance globale des banques (Talib, 2020 ; Khan et al., 2023). En outre, l’implication des employés dans les démarches qualité permet d’améliorer la cohérence des processus internes et d’accroître la productivité, ce qui se traduit par de meilleurs indicateurs de performance financière.</w:t>
      </w:r>
    </w:p>
    <w:p w14:paraId="5511A45C" w14:textId="77777777" w:rsidR="00723F08" w:rsidRPr="004D4085" w:rsidRDefault="00723F08" w:rsidP="004D4085">
      <w:pPr>
        <w:jc w:val="both"/>
        <w:rPr>
          <w:rFonts w:asciiTheme="majorBidi" w:hAnsiTheme="majorBidi" w:cstheme="majorBidi"/>
          <w:sz w:val="24"/>
          <w:szCs w:val="24"/>
        </w:rPr>
      </w:pPr>
      <w:r w:rsidRPr="004D4085">
        <w:rPr>
          <w:rFonts w:asciiTheme="majorBidi" w:hAnsiTheme="majorBidi" w:cstheme="majorBidi"/>
          <w:sz w:val="24"/>
          <w:szCs w:val="24"/>
        </w:rPr>
        <w:t>Toutefois, la littérature récente met en garde contre une vision strictement directe de la relation entre le TQM et la performance bancaire. Plusieurs auteurs soulignent que les effets du TQM sur la performance ne sont pas toujours immédiats ni automatiques, mais qu’ils dépendent de mécanismes intermédiaires liés à la qualité des services offerts, à la satisfaction des clients et à la fidélisation de la clientèle (Talib &amp; Rahman, 2024 ; Al-</w:t>
      </w:r>
      <w:proofErr w:type="spellStart"/>
      <w:r w:rsidRPr="004D4085">
        <w:rPr>
          <w:rFonts w:asciiTheme="majorBidi" w:hAnsiTheme="majorBidi" w:cstheme="majorBidi"/>
          <w:sz w:val="24"/>
          <w:szCs w:val="24"/>
        </w:rPr>
        <w:t>Hawary</w:t>
      </w:r>
      <w:proofErr w:type="spellEnd"/>
      <w:r w:rsidRPr="004D4085">
        <w:rPr>
          <w:rFonts w:asciiTheme="majorBidi" w:hAnsiTheme="majorBidi" w:cstheme="majorBidi"/>
          <w:sz w:val="24"/>
          <w:szCs w:val="24"/>
        </w:rPr>
        <w:t>, 2024). Dans ce cadre, le TQM agit comme un cadre structurant qui améliore les pratiques internes, lesquelles se traduisent ensuite par une meilleure qualité de service et, in fine, par une amélioration de la performance financière.</w:t>
      </w:r>
    </w:p>
    <w:p w14:paraId="20DB4B1E" w14:textId="77777777" w:rsidR="00723F08" w:rsidRPr="004D4085" w:rsidRDefault="00723F08" w:rsidP="004D4085">
      <w:pPr>
        <w:jc w:val="both"/>
        <w:rPr>
          <w:rFonts w:asciiTheme="majorBidi" w:hAnsiTheme="majorBidi" w:cstheme="majorBidi"/>
          <w:sz w:val="24"/>
          <w:szCs w:val="24"/>
        </w:rPr>
      </w:pPr>
      <w:r w:rsidRPr="004D4085">
        <w:rPr>
          <w:rFonts w:asciiTheme="majorBidi" w:hAnsiTheme="majorBidi" w:cstheme="majorBidi"/>
          <w:sz w:val="24"/>
          <w:szCs w:val="24"/>
        </w:rPr>
        <w:t>Dans les économies en développement, et notamment dans le contexte bancaire africain, l’adoption du TQM demeure souvent partielle et hétérogène, ce qui peut limiter son impact sur la performance. Des études récentes indiquent que les contraintes organisationnelles, le déficit de formation, la résistance au changement et l’insuffisance des systèmes de pilotage de la qualité constituent des obstacles majeurs à l’efficacité des démarches TQM dans les banques de ces pays (Talib, 2020 ; Al-</w:t>
      </w:r>
      <w:proofErr w:type="spellStart"/>
      <w:r w:rsidRPr="004D4085">
        <w:rPr>
          <w:rFonts w:asciiTheme="majorBidi" w:hAnsiTheme="majorBidi" w:cstheme="majorBidi"/>
          <w:sz w:val="24"/>
          <w:szCs w:val="24"/>
        </w:rPr>
        <w:t>Hawary</w:t>
      </w:r>
      <w:proofErr w:type="spellEnd"/>
      <w:r w:rsidRPr="004D4085">
        <w:rPr>
          <w:rFonts w:asciiTheme="majorBidi" w:hAnsiTheme="majorBidi" w:cstheme="majorBidi"/>
          <w:sz w:val="24"/>
          <w:szCs w:val="24"/>
        </w:rPr>
        <w:t>, 2024). Ces constats soulignent la nécessité d’analyser non seulement l’effet direct du TQM sur la performance bancaire, mais également les mécanismes à travers lesquels cette relation s’opère.</w:t>
      </w:r>
    </w:p>
    <w:p w14:paraId="17DD94BE" w14:textId="77777777" w:rsidR="00723F08" w:rsidRPr="004D4085" w:rsidRDefault="00723F08" w:rsidP="004D4085">
      <w:pPr>
        <w:jc w:val="both"/>
        <w:rPr>
          <w:rFonts w:asciiTheme="majorBidi" w:hAnsiTheme="majorBidi" w:cstheme="majorBidi"/>
          <w:sz w:val="24"/>
          <w:szCs w:val="24"/>
        </w:rPr>
      </w:pPr>
      <w:r w:rsidRPr="004D4085">
        <w:rPr>
          <w:rFonts w:asciiTheme="majorBidi" w:hAnsiTheme="majorBidi" w:cstheme="majorBidi"/>
          <w:sz w:val="24"/>
          <w:szCs w:val="24"/>
        </w:rPr>
        <w:t>Ainsi, au regard de la littérature existante, la gestion de la qualité totale apparaît comme un levier stratégique susceptible d’améliorer la performance bancaire, à condition qu’elle soit intégrée de manière cohérente et soutenue par un engagement réel de la direction et des employés. Cette relation complexe justifie l’introduction de variables intermédiaires, telles que la qualité de service, afin de mieux comprendre les mécanismes explicatifs reliant le TQM à la performance bancaire, ce qui constitue le cœur de l’analyse développée dans le présent article.</w:t>
      </w:r>
    </w:p>
    <w:p w14:paraId="2FEA031B" w14:textId="77777777" w:rsidR="005E44FA" w:rsidRPr="004D4085" w:rsidRDefault="005E44FA" w:rsidP="004D4085">
      <w:pPr>
        <w:jc w:val="both"/>
        <w:rPr>
          <w:rFonts w:asciiTheme="majorBidi" w:hAnsiTheme="majorBidi" w:cstheme="majorBidi"/>
          <w:b/>
          <w:bCs/>
          <w:sz w:val="24"/>
          <w:szCs w:val="24"/>
        </w:rPr>
      </w:pPr>
      <w:r w:rsidRPr="004D4085">
        <w:rPr>
          <w:rFonts w:asciiTheme="majorBidi" w:hAnsiTheme="majorBidi" w:cstheme="majorBidi"/>
          <w:b/>
          <w:bCs/>
          <w:sz w:val="24"/>
          <w:szCs w:val="24"/>
        </w:rPr>
        <w:t>2.2. Qualité de service dans le secteur bancaire</w:t>
      </w:r>
    </w:p>
    <w:p w14:paraId="3F85E5B8"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lastRenderedPageBreak/>
        <w:t>La qualité de service constitue un élément central de la performance des institutions bancaires, en raison du caractère intangible des services financiers et de l’importance accordée à la confiance, à la sécurité et à la relation client. Contrairement aux secteurs industriels, la qualité dans le secteur bancaire ne peut être évaluée uniquement à partir de critères techniques, mais repose largement sur la perception des clients quant à la manière dont le service est délivré. Dans ce contexte, la qualité de service est généralement définie comme l’écart entre les attentes des clients et leur perception du service effectivement reçu (</w:t>
      </w:r>
      <w:proofErr w:type="spellStart"/>
      <w:r w:rsidRPr="004D4085">
        <w:rPr>
          <w:rFonts w:asciiTheme="majorBidi" w:hAnsiTheme="majorBidi" w:cstheme="majorBidi"/>
          <w:sz w:val="24"/>
          <w:szCs w:val="24"/>
        </w:rPr>
        <w:t>Parasuraman</w:t>
      </w:r>
      <w:proofErr w:type="spellEnd"/>
      <w:r w:rsidRPr="004D4085">
        <w:rPr>
          <w:rFonts w:asciiTheme="majorBidi" w:hAnsiTheme="majorBidi" w:cstheme="majorBidi"/>
          <w:sz w:val="24"/>
          <w:szCs w:val="24"/>
        </w:rPr>
        <w:t xml:space="preserve"> et al., 2018).</w:t>
      </w:r>
    </w:p>
    <w:p w14:paraId="0ECAA58E"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La littérature récente met en évidence que la qualité de service bancaire constitue un déterminant majeur de la satisfaction, de la fidélité et du comportement futur des clients, influençant ainsi directement et indirectement la performance organisationnelle et financière des banques. Des études empiriques montrent que des niveaux élevés de qualité de service contribuent à renforcer la rétention de la clientèle, à réduire les coûts liés au changement de banque et à améliorer la rentabilité à long terme (Nguyen &amp; Pham, 2023 ; Al-</w:t>
      </w:r>
      <w:proofErr w:type="spellStart"/>
      <w:r w:rsidRPr="004D4085">
        <w:rPr>
          <w:rFonts w:asciiTheme="majorBidi" w:hAnsiTheme="majorBidi" w:cstheme="majorBidi"/>
          <w:sz w:val="24"/>
          <w:szCs w:val="24"/>
        </w:rPr>
        <w:t>Hawary</w:t>
      </w:r>
      <w:proofErr w:type="spellEnd"/>
      <w:r w:rsidRPr="004D4085">
        <w:rPr>
          <w:rFonts w:asciiTheme="majorBidi" w:hAnsiTheme="majorBidi" w:cstheme="majorBidi"/>
          <w:sz w:val="24"/>
          <w:szCs w:val="24"/>
        </w:rPr>
        <w:t>, 2024).</w:t>
      </w:r>
    </w:p>
    <w:p w14:paraId="0F3DE6AC"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Dans les recherches sur le secteur bancaire, la qualité de service est le plus souvent appréhendée à travers le modèle SERVQUAL, qui repose sur cinq dimensions principales : la fiabilité, la réactivité, l’assurance, l’empathie et les éléments tangibles. Malgré certaines critiques méthodologiques, ce modèle demeure largement utilisé et validé dans les études récentes portant sur les services financiers, en raison de sa capacité à capturer les perceptions des clients de manière structurée et comparable (</w:t>
      </w:r>
      <w:proofErr w:type="spellStart"/>
      <w:r w:rsidRPr="004D4085">
        <w:rPr>
          <w:rFonts w:asciiTheme="majorBidi" w:hAnsiTheme="majorBidi" w:cstheme="majorBidi"/>
          <w:sz w:val="24"/>
          <w:szCs w:val="24"/>
        </w:rPr>
        <w:t>Parasuraman</w:t>
      </w:r>
      <w:proofErr w:type="spellEnd"/>
      <w:r w:rsidRPr="004D4085">
        <w:rPr>
          <w:rFonts w:asciiTheme="majorBidi" w:hAnsiTheme="majorBidi" w:cstheme="majorBidi"/>
          <w:sz w:val="24"/>
          <w:szCs w:val="24"/>
        </w:rPr>
        <w:t xml:space="preserve"> et al., 2018 ; Khan et al., 2023).</w:t>
      </w:r>
    </w:p>
    <w:p w14:paraId="54C6FCCB"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Plusieurs travaux empiriques confirment que chacune des dimensions de la qualité de service joue un rôle spécifique dans l’évaluation globale du service bancaire. La fiabilité et l’assurance sont particulièrement associées à la confiance et à la sécurité des transactions, tandis que la réactivité et l’empathie influencent fortement la satisfaction relationnelle des clients. Les éléments tangibles, quant à eux, contribuent à renforcer l’image de marque et la crédibilité des établissements bancaires, notamment dans les environnements caractérisés par une concurrence accrue (Nguyen &amp; Pham, 2023 ; Al-</w:t>
      </w:r>
      <w:proofErr w:type="spellStart"/>
      <w:r w:rsidRPr="004D4085">
        <w:rPr>
          <w:rFonts w:asciiTheme="majorBidi" w:hAnsiTheme="majorBidi" w:cstheme="majorBidi"/>
          <w:sz w:val="24"/>
          <w:szCs w:val="24"/>
        </w:rPr>
        <w:t>Hawary</w:t>
      </w:r>
      <w:proofErr w:type="spellEnd"/>
      <w:r w:rsidRPr="004D4085">
        <w:rPr>
          <w:rFonts w:asciiTheme="majorBidi" w:hAnsiTheme="majorBidi" w:cstheme="majorBidi"/>
          <w:sz w:val="24"/>
          <w:szCs w:val="24"/>
        </w:rPr>
        <w:t>, 2024).</w:t>
      </w:r>
    </w:p>
    <w:p w14:paraId="70DCED4E"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Dans le contexte bancaire, la qualité de service ne constitue pas uniquement un objectif en soi, mais également un levier stratégique permettant de traduire les pratiques managériales internes en résultats observables par les clients. La littérature souligne que les banques qui investissent dans l’amélioration de la qualité de service parviennent à se différencier durablement, à accroître la satisfaction et la fidélité de leur clientèle, et à améliorer leurs performances financières (Khan et al., 2023 ; Talib &amp; Rahman, 2024).</w:t>
      </w:r>
    </w:p>
    <w:p w14:paraId="6688C950"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Toutefois, plusieurs études mettent en évidence que la qualité de service est fortement conditionnée par les pratiques organisationnelles internes, notamment en matière de gestion des ressources humaines, de formation, de leadership et d’amélioration continue des processus. En ce sens, la qualité de service apparaît comme un résultat intermédiaire des démarches de gestion de la qualité totale, reflétant la capacité de l’organisation à aligner ses pratiques internes avec les attentes des clients (Talib, 2020 ; Al-</w:t>
      </w:r>
      <w:proofErr w:type="spellStart"/>
      <w:r w:rsidRPr="004D4085">
        <w:rPr>
          <w:rFonts w:asciiTheme="majorBidi" w:hAnsiTheme="majorBidi" w:cstheme="majorBidi"/>
          <w:sz w:val="24"/>
          <w:szCs w:val="24"/>
        </w:rPr>
        <w:t>Hawary</w:t>
      </w:r>
      <w:proofErr w:type="spellEnd"/>
      <w:r w:rsidRPr="004D4085">
        <w:rPr>
          <w:rFonts w:asciiTheme="majorBidi" w:hAnsiTheme="majorBidi" w:cstheme="majorBidi"/>
          <w:sz w:val="24"/>
          <w:szCs w:val="24"/>
        </w:rPr>
        <w:t>, 2024).</w:t>
      </w:r>
    </w:p>
    <w:p w14:paraId="289FE532"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 xml:space="preserve">Dans les pays en développement, et plus particulièrement dans les secteurs bancaires caractérisés par des contraintes institutionnelles et organisationnelles, la qualité de service demeure souvent inégale et insuffisamment structurée. Des recherches récentes soulignent que </w:t>
      </w:r>
      <w:r w:rsidRPr="004D4085">
        <w:rPr>
          <w:rFonts w:asciiTheme="majorBidi" w:hAnsiTheme="majorBidi" w:cstheme="majorBidi"/>
          <w:sz w:val="24"/>
          <w:szCs w:val="24"/>
        </w:rPr>
        <w:lastRenderedPageBreak/>
        <w:t>l’absence de systèmes formalisés de gestion de la qualité, le déficit de formation du personnel et la lenteur des processus opérationnels constituent des freins majeurs à l’amélioration de la qualité de service bancaire (Nguyen &amp; Pham, 2023 ; Al-</w:t>
      </w:r>
      <w:proofErr w:type="spellStart"/>
      <w:r w:rsidRPr="004D4085">
        <w:rPr>
          <w:rFonts w:asciiTheme="majorBidi" w:hAnsiTheme="majorBidi" w:cstheme="majorBidi"/>
          <w:sz w:val="24"/>
          <w:szCs w:val="24"/>
        </w:rPr>
        <w:t>Hawary</w:t>
      </w:r>
      <w:proofErr w:type="spellEnd"/>
      <w:r w:rsidRPr="004D4085">
        <w:rPr>
          <w:rFonts w:asciiTheme="majorBidi" w:hAnsiTheme="majorBidi" w:cstheme="majorBidi"/>
          <w:sz w:val="24"/>
          <w:szCs w:val="24"/>
        </w:rPr>
        <w:t>, 2024). Ces constats renforcent l’intérêt d’analyser la qualité de service non seulement comme un déterminant de la performance bancaire, mais également comme un mécanisme clé reliant les pratiques de TQM aux résultats financiers.</w:t>
      </w:r>
    </w:p>
    <w:p w14:paraId="19286E8E"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Ainsi, au regard de la littérature existante, la qualité de service s’impose comme une variable stratégique dans l’analyse de la performance bancaire. Elle constitue un lien essentiel entre les pratiques internes de gestion de la qualité totale et les résultats organisationnels et financiers observés, ce qui justifie son intégration comme variable médiatrice dans le modèle conceptuel développé dans cette recherche.</w:t>
      </w:r>
    </w:p>
    <w:p w14:paraId="61A88F57"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2.3. Rôle médiateur de la qualité de service dans la relation entre le TQM et la performance bancaire</w:t>
      </w:r>
    </w:p>
    <w:p w14:paraId="1A8FF65E"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 xml:space="preserve">La littérature récente en management de la qualité met de plus en plus l’accent sur la nature indirecte de la relation entre la gestion de la qualité totale (Total </w:t>
      </w:r>
      <w:proofErr w:type="spellStart"/>
      <w:r w:rsidRPr="004D4085">
        <w:rPr>
          <w:rFonts w:asciiTheme="majorBidi" w:hAnsiTheme="majorBidi" w:cstheme="majorBidi"/>
          <w:sz w:val="24"/>
          <w:szCs w:val="24"/>
        </w:rPr>
        <w:t>Quality</w:t>
      </w:r>
      <w:proofErr w:type="spellEnd"/>
      <w:r w:rsidRPr="004D4085">
        <w:rPr>
          <w:rFonts w:asciiTheme="majorBidi" w:hAnsiTheme="majorBidi" w:cstheme="majorBidi"/>
          <w:sz w:val="24"/>
          <w:szCs w:val="24"/>
        </w:rPr>
        <w:t xml:space="preserve"> Management – TQM) et la performance organisationnelle. Contrairement aux approches traditionnelles qui postulent un effet direct et immédiat du TQM sur les résultats financiers, plusieurs travaux empiriques soulignent que l’impact des pratiques de TQM s’opère à travers des mécanismes intermédiaires, parmi lesquels la qualité de service occupe une place centrale, en particulier dans le secteur bancaire (Psomas &amp; Antony, 2016 ; Talib &amp; Rahman, 2024).</w:t>
      </w:r>
    </w:p>
    <w:p w14:paraId="1FEB3976"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Dans le contexte des services financiers, le TQM agit principalement sur les processus internes, les pratiques managériales et le comportement des employés, en favorisant l’orientation client, l’amélioration continue et la responsabilisation du personnel. Ces transformations internes ne se traduisent pas automatiquement par une amélioration de la performance financière, mais influencent d’abord la qualité de service perçue par les clients. Cette dernière constitue alors un mécanisme de transmission par lequel les effets du TQM sont convertis en résultats organisationnels et financiers observables (</w:t>
      </w:r>
      <w:proofErr w:type="spellStart"/>
      <w:r w:rsidRPr="004D4085">
        <w:rPr>
          <w:rFonts w:asciiTheme="majorBidi" w:hAnsiTheme="majorBidi" w:cstheme="majorBidi"/>
          <w:sz w:val="24"/>
          <w:szCs w:val="24"/>
        </w:rPr>
        <w:t>Kafetzopoulos</w:t>
      </w:r>
      <w:proofErr w:type="spellEnd"/>
      <w:r w:rsidRPr="004D4085">
        <w:rPr>
          <w:rFonts w:asciiTheme="majorBidi" w:hAnsiTheme="majorBidi" w:cstheme="majorBidi"/>
          <w:sz w:val="24"/>
          <w:szCs w:val="24"/>
        </w:rPr>
        <w:t xml:space="preserve"> et al., 2019 ; Al-</w:t>
      </w:r>
      <w:proofErr w:type="spellStart"/>
      <w:r w:rsidRPr="004D4085">
        <w:rPr>
          <w:rFonts w:asciiTheme="majorBidi" w:hAnsiTheme="majorBidi" w:cstheme="majorBidi"/>
          <w:sz w:val="24"/>
          <w:szCs w:val="24"/>
        </w:rPr>
        <w:t>Hawary</w:t>
      </w:r>
      <w:proofErr w:type="spellEnd"/>
      <w:r w:rsidRPr="004D4085">
        <w:rPr>
          <w:rFonts w:asciiTheme="majorBidi" w:hAnsiTheme="majorBidi" w:cstheme="majorBidi"/>
          <w:sz w:val="24"/>
          <w:szCs w:val="24"/>
        </w:rPr>
        <w:t>, 2024).</w:t>
      </w:r>
    </w:p>
    <w:p w14:paraId="1E081805"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Plusieurs études empiriques confirment le rôle médiateur de la qualité de service dans la relation entre le TQM et la performance. Talib et Rahman (2024) montrent que les pratiques de gestion de la qualité totale exercent un effet positif et significatif sur la qualité de service, laquelle influence à son tour la satisfaction et la fidélité des clients, conduisant à une amélioration de la performance financière. De manière similaire, Al-</w:t>
      </w:r>
      <w:proofErr w:type="spellStart"/>
      <w:r w:rsidRPr="004D4085">
        <w:rPr>
          <w:rFonts w:asciiTheme="majorBidi" w:hAnsiTheme="majorBidi" w:cstheme="majorBidi"/>
          <w:sz w:val="24"/>
          <w:szCs w:val="24"/>
        </w:rPr>
        <w:t>Hawary</w:t>
      </w:r>
      <w:proofErr w:type="spellEnd"/>
      <w:r w:rsidRPr="004D4085">
        <w:rPr>
          <w:rFonts w:asciiTheme="majorBidi" w:hAnsiTheme="majorBidi" w:cstheme="majorBidi"/>
          <w:sz w:val="24"/>
          <w:szCs w:val="24"/>
        </w:rPr>
        <w:t xml:space="preserve"> (2024) met en évidence que la qualité de service médie partiellement la relation entre les pratiques managériales orientées qualité et la performance des institutions bancaires, soulignant ainsi l’importance de la perception des clients dans l’évaluation de l’efficacité des démarches TQM.</w:t>
      </w:r>
    </w:p>
    <w:p w14:paraId="378E3B7A"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 xml:space="preserve">Le modèle de médiation repose sur l’idée que la qualité de service constitue un résultat intermédiaire des pratiques de TQM, traduisant l’efficacité des processus internes et des politiques de gestion des ressources humaines en bénéfices tangibles pour les clients. Dans cette perspective, la performance bancaire, mesurée à travers des indicateurs financiers tels que la rentabilité des fonds propres (ROE), est influencée indirectement par le TQM via l’amélioration de la qualité du service offert. Ce raisonnement est cohérent avec les approches fondées sur la </w:t>
      </w:r>
      <w:r w:rsidRPr="004D4085">
        <w:rPr>
          <w:rFonts w:asciiTheme="majorBidi" w:hAnsiTheme="majorBidi" w:cstheme="majorBidi"/>
          <w:sz w:val="24"/>
          <w:szCs w:val="24"/>
        </w:rPr>
        <w:lastRenderedPageBreak/>
        <w:t>chaîne de valeur des services, selon lesquelles la qualité interne des processus et des pratiques managériales conditionne la qualité externe perçue par les clients, puis les résultats financiers (Khan et al., 2023 ; Nguyen &amp; Pham, 2023).</w:t>
      </w:r>
    </w:p>
    <w:p w14:paraId="668C91FB"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Dans les économies en développement, et notamment dans le secteur bancaire africain, le rôle médiateur de la qualité de service apparaît encore plus pertinent en raison des contraintes organisationnelles, institutionnelles et technologiques qui limitent l’impact direct des pratiques de TQM sur la performance financière. Des études récentes soulignent que, dans ces contextes, l’amélioration de la qualité de service constitue souvent la première manifestation observable de l’adoption du TQM, avant toute amélioration significative des indicateurs financiers (Talib, 2020 ; Al-</w:t>
      </w:r>
      <w:proofErr w:type="spellStart"/>
      <w:r w:rsidRPr="004D4085">
        <w:rPr>
          <w:rFonts w:asciiTheme="majorBidi" w:hAnsiTheme="majorBidi" w:cstheme="majorBidi"/>
          <w:sz w:val="24"/>
          <w:szCs w:val="24"/>
        </w:rPr>
        <w:t>Hawary</w:t>
      </w:r>
      <w:proofErr w:type="spellEnd"/>
      <w:r w:rsidRPr="004D4085">
        <w:rPr>
          <w:rFonts w:asciiTheme="majorBidi" w:hAnsiTheme="majorBidi" w:cstheme="majorBidi"/>
          <w:sz w:val="24"/>
          <w:szCs w:val="24"/>
        </w:rPr>
        <w:t>, 2024). Cette spécificité renforce la pertinence d’une analyse de la médiation dans le cas des banques mauritaniennes.</w:t>
      </w:r>
    </w:p>
    <w:p w14:paraId="39C94225"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Ainsi, l’intégration de la qualité de service comme variable médiatrice permet de mieux comprendre les mécanismes explicatifs reliant la gestion de la qualité totale à la performance bancaire. Elle offre un cadre analytique plus nuancé, en mettant en évidence que la performance financière ne résulte pas uniquement de l’adoption formelle des pratiques de TQM, mais dépend de leur capacité à améliorer concrètement la qualité du service perçue par les clients. Sur la base de ces éléments théoriques et empiriques, la présente recherche adopte un modèle conceptuel intégrant la qualité de service comme médiateur clé dans la relation entre le TQM et la performance bancaire.</w:t>
      </w:r>
    </w:p>
    <w:p w14:paraId="5D668BA1" w14:textId="531CEBDA"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Hypothèse de recherche associée</w:t>
      </w:r>
    </w:p>
    <w:p w14:paraId="4207914E"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H4 : La qualité de service joue un rôle médiateur significatif dans la relation entre la gestion de la qualité totale (TQM) et la performance bancaire.</w:t>
      </w:r>
    </w:p>
    <w:p w14:paraId="1503A191"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3. Modèle conceptuel et formulation des hypothèses</w:t>
      </w:r>
    </w:p>
    <w:p w14:paraId="4759F93D"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À la lumière de la revue de la littérature et des développements théoriques précédents, le présent article propose un modèle conceptuel intégrateur visant à analyser les relations entre la gestion de la qualité totale (TQM), la qualité de service et la performance bancaire. Ce modèle repose sur l’idée que les pratiques de TQM influencent la performance bancaire à la fois de manière directe et indirecte, à travers l’amélioration de la qualité de service perçue par les clients.</w:t>
      </w:r>
    </w:p>
    <w:p w14:paraId="61BB7086"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Le modèle conceptuel s’inscrit dans une approche processuelle de la performance, selon laquelle les pratiques managériales internes constituent des facteurs explicatifs en amont, tandis que la performance financière représente un résultat en aval. Dans cette perspective, la qualité de service est intégrée comme une variable intermédiaire clé, traduisant l’efficacité des pratiques de TQM en bénéfices concrets pour les clients et, in fine, en amélioration des performances financières des banques (</w:t>
      </w:r>
      <w:proofErr w:type="spellStart"/>
      <w:r w:rsidRPr="004D4085">
        <w:rPr>
          <w:rFonts w:asciiTheme="majorBidi" w:hAnsiTheme="majorBidi" w:cstheme="majorBidi"/>
          <w:sz w:val="24"/>
          <w:szCs w:val="24"/>
        </w:rPr>
        <w:t>Kafetzopoulos</w:t>
      </w:r>
      <w:proofErr w:type="spellEnd"/>
      <w:r w:rsidRPr="004D4085">
        <w:rPr>
          <w:rFonts w:asciiTheme="majorBidi" w:hAnsiTheme="majorBidi" w:cstheme="majorBidi"/>
          <w:sz w:val="24"/>
          <w:szCs w:val="24"/>
        </w:rPr>
        <w:t xml:space="preserve"> et al., 2019 ; Talib &amp; Rahman, 2024).</w:t>
      </w:r>
    </w:p>
    <w:p w14:paraId="6ED8BCF0" w14:textId="77777777" w:rsidR="005E44FA" w:rsidRPr="004D4085" w:rsidRDefault="005E44FA" w:rsidP="004D4085">
      <w:pPr>
        <w:jc w:val="both"/>
        <w:rPr>
          <w:rFonts w:asciiTheme="majorBidi" w:hAnsiTheme="majorBidi" w:cstheme="majorBidi"/>
          <w:b/>
          <w:bCs/>
          <w:sz w:val="24"/>
          <w:szCs w:val="24"/>
        </w:rPr>
      </w:pPr>
      <w:r w:rsidRPr="004D4085">
        <w:rPr>
          <w:rFonts w:asciiTheme="majorBidi" w:hAnsiTheme="majorBidi" w:cstheme="majorBidi"/>
          <w:b/>
          <w:bCs/>
          <w:sz w:val="24"/>
          <w:szCs w:val="24"/>
        </w:rPr>
        <w:t>3.1. Variables du modèle conceptuel</w:t>
      </w:r>
    </w:p>
    <w:p w14:paraId="0BD5317C" w14:textId="77777777" w:rsidR="005E44FA" w:rsidRPr="004D4085" w:rsidRDefault="005E44FA" w:rsidP="00847F93">
      <w:pPr>
        <w:rPr>
          <w:rFonts w:asciiTheme="majorBidi" w:hAnsiTheme="majorBidi" w:cstheme="majorBidi"/>
          <w:sz w:val="24"/>
          <w:szCs w:val="24"/>
        </w:rPr>
      </w:pPr>
      <w:r w:rsidRPr="004D4085">
        <w:rPr>
          <w:rFonts w:asciiTheme="majorBidi" w:hAnsiTheme="majorBidi" w:cstheme="majorBidi"/>
          <w:sz w:val="24"/>
          <w:szCs w:val="24"/>
        </w:rPr>
        <w:t>Les variables du modèle sont structurées comme suit :</w:t>
      </w:r>
    </w:p>
    <w:p w14:paraId="0CD823EA" w14:textId="77777777" w:rsidR="005E44FA" w:rsidRPr="004D4085" w:rsidRDefault="005E44FA" w:rsidP="00847F93">
      <w:pPr>
        <w:rPr>
          <w:rFonts w:asciiTheme="majorBidi" w:hAnsiTheme="majorBidi" w:cstheme="majorBidi"/>
          <w:sz w:val="24"/>
          <w:szCs w:val="24"/>
        </w:rPr>
      </w:pPr>
      <w:r w:rsidRPr="004D4085">
        <w:rPr>
          <w:rFonts w:asciiTheme="majorBidi" w:hAnsiTheme="majorBidi" w:cstheme="majorBidi"/>
          <w:sz w:val="24"/>
          <w:szCs w:val="24"/>
        </w:rPr>
        <w:t>Variables indépendantes :</w:t>
      </w:r>
      <w:r w:rsidRPr="004D4085">
        <w:rPr>
          <w:rFonts w:asciiTheme="majorBidi" w:hAnsiTheme="majorBidi" w:cstheme="majorBidi"/>
          <w:sz w:val="24"/>
          <w:szCs w:val="24"/>
        </w:rPr>
        <w:br/>
        <w:t xml:space="preserve">Les pratiques de la gestion de la qualité totale (TQM), appréhendées à travers plusieurs dimensions clés, notamment l’orientation vers les employés, l’engagement et l’implication du </w:t>
      </w:r>
      <w:r w:rsidRPr="004D4085">
        <w:rPr>
          <w:rFonts w:asciiTheme="majorBidi" w:hAnsiTheme="majorBidi" w:cstheme="majorBidi"/>
          <w:sz w:val="24"/>
          <w:szCs w:val="24"/>
        </w:rPr>
        <w:lastRenderedPageBreak/>
        <w:t>personnel, la formation aux principes du TQM, le leadership et l’engagement de la direction générale, ainsi que l’orientation client et l’amélioration continue des processus. Ces dimensions reflètent les principes fondamentaux du TQM largement reconnus dans la littérature récente (Talib, 2020 ; Khan et al., 2023).</w:t>
      </w:r>
    </w:p>
    <w:p w14:paraId="5AE66E85" w14:textId="77777777" w:rsidR="005E44FA" w:rsidRPr="004D4085" w:rsidRDefault="005E44FA" w:rsidP="00847F93">
      <w:pPr>
        <w:rPr>
          <w:rFonts w:asciiTheme="majorBidi" w:hAnsiTheme="majorBidi" w:cstheme="majorBidi"/>
          <w:sz w:val="24"/>
          <w:szCs w:val="24"/>
        </w:rPr>
      </w:pPr>
      <w:r w:rsidRPr="004D4085">
        <w:rPr>
          <w:rFonts w:asciiTheme="majorBidi" w:hAnsiTheme="majorBidi" w:cstheme="majorBidi"/>
          <w:sz w:val="24"/>
          <w:szCs w:val="24"/>
        </w:rPr>
        <w:t>Variable médiatrice :</w:t>
      </w:r>
      <w:r w:rsidRPr="004D4085">
        <w:rPr>
          <w:rFonts w:asciiTheme="majorBidi" w:hAnsiTheme="majorBidi" w:cstheme="majorBidi"/>
          <w:sz w:val="24"/>
          <w:szCs w:val="24"/>
        </w:rPr>
        <w:br/>
        <w:t>La qualité de service, mesurée à travers les dimensions du modèle SERVQUAL, représente le mécanisme par lequel les pratiques de TQM influencent la performance bancaire. Elle traduit la capacité des banques à aligner leurs pratiques internes avec les attentes et perceptions des clients (</w:t>
      </w:r>
      <w:proofErr w:type="spellStart"/>
      <w:r w:rsidRPr="004D4085">
        <w:rPr>
          <w:rFonts w:asciiTheme="majorBidi" w:hAnsiTheme="majorBidi" w:cstheme="majorBidi"/>
          <w:sz w:val="24"/>
          <w:szCs w:val="24"/>
        </w:rPr>
        <w:t>Parasuraman</w:t>
      </w:r>
      <w:proofErr w:type="spellEnd"/>
      <w:r w:rsidRPr="004D4085">
        <w:rPr>
          <w:rFonts w:asciiTheme="majorBidi" w:hAnsiTheme="majorBidi" w:cstheme="majorBidi"/>
          <w:sz w:val="24"/>
          <w:szCs w:val="24"/>
        </w:rPr>
        <w:t xml:space="preserve"> et al., 2018 ; Nguyen &amp; Pham, 2023).</w:t>
      </w:r>
    </w:p>
    <w:p w14:paraId="552ACC17" w14:textId="77777777" w:rsidR="005E44FA" w:rsidRPr="004D4085" w:rsidRDefault="005E44FA" w:rsidP="00847F93">
      <w:pPr>
        <w:rPr>
          <w:rFonts w:asciiTheme="majorBidi" w:hAnsiTheme="majorBidi" w:cstheme="majorBidi"/>
          <w:sz w:val="24"/>
          <w:szCs w:val="24"/>
        </w:rPr>
      </w:pPr>
      <w:r w:rsidRPr="004D4085">
        <w:rPr>
          <w:rFonts w:asciiTheme="majorBidi" w:hAnsiTheme="majorBidi" w:cstheme="majorBidi"/>
          <w:sz w:val="24"/>
          <w:szCs w:val="24"/>
        </w:rPr>
        <w:t>Variable dépendante :</w:t>
      </w:r>
      <w:r w:rsidRPr="004D4085">
        <w:rPr>
          <w:rFonts w:asciiTheme="majorBidi" w:hAnsiTheme="majorBidi" w:cstheme="majorBidi"/>
          <w:sz w:val="24"/>
          <w:szCs w:val="24"/>
        </w:rPr>
        <w:br/>
        <w:t xml:space="preserve">La performance bancaire est appréhendée à travers un indicateur financier objectif, à savoir la rentabilité des fonds propres (Return on </w:t>
      </w:r>
      <w:proofErr w:type="spellStart"/>
      <w:r w:rsidRPr="004D4085">
        <w:rPr>
          <w:rFonts w:asciiTheme="majorBidi" w:hAnsiTheme="majorBidi" w:cstheme="majorBidi"/>
          <w:sz w:val="24"/>
          <w:szCs w:val="24"/>
        </w:rPr>
        <w:t>Equity</w:t>
      </w:r>
      <w:proofErr w:type="spellEnd"/>
      <w:r w:rsidRPr="004D4085">
        <w:rPr>
          <w:rFonts w:asciiTheme="majorBidi" w:hAnsiTheme="majorBidi" w:cstheme="majorBidi"/>
          <w:sz w:val="24"/>
          <w:szCs w:val="24"/>
        </w:rPr>
        <w:t xml:space="preserve"> – ROE), largement utilisée dans les études empiriques pour évaluer la performance financière des institutions bancaires (Khan et al., 2023).</w:t>
      </w:r>
    </w:p>
    <w:p w14:paraId="1EC5252C" w14:textId="77777777" w:rsidR="00D3480A" w:rsidRPr="004D4085" w:rsidRDefault="00D3480A" w:rsidP="004D4085">
      <w:pPr>
        <w:jc w:val="both"/>
        <w:rPr>
          <w:rFonts w:asciiTheme="majorBidi" w:hAnsiTheme="majorBidi" w:cstheme="majorBidi"/>
          <w:b/>
          <w:bCs/>
          <w:sz w:val="24"/>
          <w:szCs w:val="24"/>
        </w:rPr>
      </w:pPr>
      <w:r w:rsidRPr="004D4085">
        <w:rPr>
          <w:rFonts w:asciiTheme="majorBidi" w:hAnsiTheme="majorBidi" w:cstheme="majorBidi"/>
          <w:b/>
          <w:bCs/>
          <w:sz w:val="24"/>
          <w:szCs w:val="24"/>
        </w:rPr>
        <w:t>3.2. Population et échantillon</w:t>
      </w:r>
    </w:p>
    <w:p w14:paraId="0C2FCED2" w14:textId="77777777" w:rsidR="00D3480A" w:rsidRPr="004D4085" w:rsidRDefault="00D3480A" w:rsidP="004D4085">
      <w:pPr>
        <w:jc w:val="both"/>
        <w:rPr>
          <w:rFonts w:asciiTheme="majorBidi" w:hAnsiTheme="majorBidi" w:cstheme="majorBidi"/>
          <w:sz w:val="24"/>
          <w:szCs w:val="24"/>
          <w:lang w:eastAsia="fr-FR"/>
        </w:rPr>
      </w:pPr>
      <w:r w:rsidRPr="004D4085">
        <w:rPr>
          <w:rFonts w:asciiTheme="majorBidi" w:hAnsiTheme="majorBidi" w:cstheme="majorBidi"/>
          <w:sz w:val="24"/>
          <w:szCs w:val="24"/>
          <w:lang w:eastAsia="fr-FR"/>
        </w:rPr>
        <w:t>L’étude empirique a été menée auprès d’un échantillon d’employés et de clients issus des principales banques opérant en Mauritanie, à savoir : Banque Mauritanienne pour le Commerce International (BMCI), Banque El Amana, Banque Populaire de Mauritanie (BPM), Banque Nationale de Mauritanie (BNM) et Banque Islamique de Mauritanie (BIM).</w:t>
      </w:r>
    </w:p>
    <w:p w14:paraId="7FA6DBF5" w14:textId="5862BB59" w:rsidR="00D3480A" w:rsidRPr="004D4085" w:rsidRDefault="00D3480A" w:rsidP="00847F93">
      <w:pPr>
        <w:jc w:val="both"/>
        <w:rPr>
          <w:rFonts w:asciiTheme="majorBidi" w:hAnsiTheme="majorBidi" w:cstheme="majorBidi"/>
          <w:sz w:val="24"/>
          <w:szCs w:val="24"/>
          <w:lang w:eastAsia="fr-FR"/>
        </w:rPr>
      </w:pPr>
      <w:r w:rsidRPr="004D4085">
        <w:rPr>
          <w:rFonts w:asciiTheme="majorBidi" w:hAnsiTheme="majorBidi" w:cstheme="majorBidi"/>
          <w:sz w:val="24"/>
          <w:szCs w:val="24"/>
          <w:lang w:eastAsia="fr-FR"/>
        </w:rPr>
        <w:t>Ces établissements ont été retenus en raison de leur importance dans le système bancaire national, de leur diversité en termes de modèles organisationnels (banques conventionnelles et islamiques) et de leur couverture géographique.</w:t>
      </w:r>
    </w:p>
    <w:p w14:paraId="65E47E26" w14:textId="2ACCF4FB" w:rsidR="005E44FA" w:rsidRPr="004D4085" w:rsidRDefault="005E44FA" w:rsidP="004D4085">
      <w:pPr>
        <w:jc w:val="both"/>
        <w:rPr>
          <w:rFonts w:asciiTheme="majorBidi" w:hAnsiTheme="majorBidi" w:cstheme="majorBidi"/>
          <w:b/>
          <w:bCs/>
          <w:sz w:val="24"/>
          <w:szCs w:val="24"/>
        </w:rPr>
      </w:pPr>
      <w:r w:rsidRPr="004D4085">
        <w:rPr>
          <w:rFonts w:asciiTheme="majorBidi" w:hAnsiTheme="majorBidi" w:cstheme="majorBidi"/>
          <w:b/>
          <w:bCs/>
          <w:sz w:val="24"/>
          <w:szCs w:val="24"/>
        </w:rPr>
        <w:t>3.</w:t>
      </w:r>
      <w:r w:rsidR="00D3480A" w:rsidRPr="004D4085">
        <w:rPr>
          <w:rFonts w:asciiTheme="majorBidi" w:hAnsiTheme="majorBidi" w:cstheme="majorBidi"/>
          <w:b/>
          <w:bCs/>
          <w:sz w:val="24"/>
          <w:szCs w:val="24"/>
          <w:rtl/>
        </w:rPr>
        <w:t>3</w:t>
      </w:r>
      <w:r w:rsidRPr="004D4085">
        <w:rPr>
          <w:rFonts w:asciiTheme="majorBidi" w:hAnsiTheme="majorBidi" w:cstheme="majorBidi"/>
          <w:b/>
          <w:bCs/>
          <w:sz w:val="24"/>
          <w:szCs w:val="24"/>
        </w:rPr>
        <w:t>. Justification du modèle conceptuel</w:t>
      </w:r>
    </w:p>
    <w:p w14:paraId="09C851F2"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 xml:space="preserve">Le choix de ce modèle conceptuel se justifie par plusieurs considérations théoriques et empiriques. D’une part, les recherches antérieures confirment que les pratiques de TQM exercent une influence positive sur la performance organisationnelle et financière des banques (Psomas &amp; Antony, 2016 ; </w:t>
      </w:r>
      <w:proofErr w:type="spellStart"/>
      <w:r w:rsidRPr="004D4085">
        <w:rPr>
          <w:rFonts w:asciiTheme="majorBidi" w:hAnsiTheme="majorBidi" w:cstheme="majorBidi"/>
          <w:sz w:val="24"/>
          <w:szCs w:val="24"/>
        </w:rPr>
        <w:t>Kafetzopoulos</w:t>
      </w:r>
      <w:proofErr w:type="spellEnd"/>
      <w:r w:rsidRPr="004D4085">
        <w:rPr>
          <w:rFonts w:asciiTheme="majorBidi" w:hAnsiTheme="majorBidi" w:cstheme="majorBidi"/>
          <w:sz w:val="24"/>
          <w:szCs w:val="24"/>
        </w:rPr>
        <w:t xml:space="preserve"> et al., 2019). D’autre part, des études récentes mettent en évidence le rôle central de la qualité de service comme déterminant de la satisfaction, de la fidélité des clients et de la performance bancaire (Nguyen &amp; Pham, 2023 ; Al-</w:t>
      </w:r>
      <w:proofErr w:type="spellStart"/>
      <w:r w:rsidRPr="004D4085">
        <w:rPr>
          <w:rFonts w:asciiTheme="majorBidi" w:hAnsiTheme="majorBidi" w:cstheme="majorBidi"/>
          <w:sz w:val="24"/>
          <w:szCs w:val="24"/>
        </w:rPr>
        <w:t>Hawary</w:t>
      </w:r>
      <w:proofErr w:type="spellEnd"/>
      <w:r w:rsidRPr="004D4085">
        <w:rPr>
          <w:rFonts w:asciiTheme="majorBidi" w:hAnsiTheme="majorBidi" w:cstheme="majorBidi"/>
          <w:sz w:val="24"/>
          <w:szCs w:val="24"/>
        </w:rPr>
        <w:t>, 2024).</w:t>
      </w:r>
    </w:p>
    <w:p w14:paraId="64FC7818"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L’intégration de la qualité de service comme variable médiatrice permet ainsi de dépasser une approche simplifiée de la relation entre le TQM et la performance bancaire, en tenant compte des mécanismes intermédiaires par lesquels les pratiques managériales internes se traduisent en résultats financiers. Cette approche est particulièrement pertinente dans le secteur bancaire, où la performance dépend fortement de la perception des clients et de la qualité des interactions de service (Talib &amp; Rahman, 2024).</w:t>
      </w:r>
    </w:p>
    <w:p w14:paraId="44981FFD" w14:textId="6EB84265"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3.</w:t>
      </w:r>
      <w:r w:rsidR="00D3480A" w:rsidRPr="004D4085">
        <w:rPr>
          <w:rFonts w:asciiTheme="majorBidi" w:hAnsiTheme="majorBidi" w:cstheme="majorBidi"/>
          <w:sz w:val="24"/>
          <w:szCs w:val="24"/>
          <w:rtl/>
        </w:rPr>
        <w:t>4</w:t>
      </w:r>
      <w:r w:rsidRPr="004D4085">
        <w:rPr>
          <w:rFonts w:asciiTheme="majorBidi" w:hAnsiTheme="majorBidi" w:cstheme="majorBidi"/>
          <w:sz w:val="24"/>
          <w:szCs w:val="24"/>
        </w:rPr>
        <w:t>. Formulation des hypothèses de recherche</w:t>
      </w:r>
    </w:p>
    <w:p w14:paraId="1B0FFCA3"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Sur la base du cadre théorique développé et du modèle conceptuel retenu, les hypothèses de recherche suivantes sont formulées :</w:t>
      </w:r>
    </w:p>
    <w:p w14:paraId="108DF9FF" w14:textId="77777777" w:rsidR="00776963" w:rsidRPr="00776963" w:rsidRDefault="00776963" w:rsidP="00776963">
      <w:pPr>
        <w:jc w:val="both"/>
        <w:rPr>
          <w:rFonts w:asciiTheme="majorBidi" w:hAnsiTheme="majorBidi" w:cstheme="majorBidi"/>
          <w:sz w:val="24"/>
          <w:szCs w:val="24"/>
        </w:rPr>
      </w:pPr>
      <w:r w:rsidRPr="00776963">
        <w:rPr>
          <w:rFonts w:asciiTheme="majorBidi" w:hAnsiTheme="majorBidi" w:cstheme="majorBidi"/>
          <w:sz w:val="24"/>
          <w:szCs w:val="24"/>
        </w:rPr>
        <w:t>H1 : L’orientation vers les employés influence positivement la qualité de service bancaire.</w:t>
      </w:r>
    </w:p>
    <w:p w14:paraId="31BC54A0" w14:textId="77777777" w:rsidR="00776963" w:rsidRPr="00776963" w:rsidRDefault="00776963" w:rsidP="00776963">
      <w:pPr>
        <w:jc w:val="both"/>
        <w:rPr>
          <w:rFonts w:asciiTheme="majorBidi" w:hAnsiTheme="majorBidi" w:cstheme="majorBidi"/>
          <w:sz w:val="24"/>
          <w:szCs w:val="24"/>
        </w:rPr>
      </w:pPr>
      <w:r w:rsidRPr="00776963">
        <w:rPr>
          <w:rFonts w:asciiTheme="majorBidi" w:hAnsiTheme="majorBidi" w:cstheme="majorBidi"/>
          <w:sz w:val="24"/>
          <w:szCs w:val="24"/>
        </w:rPr>
        <w:lastRenderedPageBreak/>
        <w:t>H2 : L’engagement et l’implication des employés ont un effet positif et significatif sur la qualité de service bancaire.</w:t>
      </w:r>
    </w:p>
    <w:p w14:paraId="21073F51" w14:textId="77777777" w:rsidR="00776963" w:rsidRPr="00776963" w:rsidRDefault="00776963" w:rsidP="00776963">
      <w:pPr>
        <w:jc w:val="both"/>
        <w:rPr>
          <w:rFonts w:asciiTheme="majorBidi" w:hAnsiTheme="majorBidi" w:cstheme="majorBidi"/>
          <w:sz w:val="24"/>
          <w:szCs w:val="24"/>
        </w:rPr>
      </w:pPr>
      <w:r w:rsidRPr="00776963">
        <w:rPr>
          <w:rFonts w:asciiTheme="majorBidi" w:hAnsiTheme="majorBidi" w:cstheme="majorBidi"/>
          <w:sz w:val="24"/>
          <w:szCs w:val="24"/>
        </w:rPr>
        <w:t>H3 : La formation et la sensibilisation aux principes du TQM améliorent significativement la qualité de service bancaire.</w:t>
      </w:r>
    </w:p>
    <w:p w14:paraId="2E14BAF4" w14:textId="77777777" w:rsidR="00776963" w:rsidRPr="00776963" w:rsidRDefault="00776963" w:rsidP="00776963">
      <w:pPr>
        <w:jc w:val="both"/>
        <w:rPr>
          <w:rFonts w:asciiTheme="majorBidi" w:hAnsiTheme="majorBidi" w:cstheme="majorBidi"/>
          <w:sz w:val="24"/>
          <w:szCs w:val="24"/>
        </w:rPr>
      </w:pPr>
      <w:r w:rsidRPr="00776963">
        <w:rPr>
          <w:rFonts w:asciiTheme="majorBidi" w:hAnsiTheme="majorBidi" w:cstheme="majorBidi"/>
          <w:sz w:val="24"/>
          <w:szCs w:val="24"/>
        </w:rPr>
        <w:t>H4 : La qualité de service joue un rôle médiateur significatif dans la relation entre la gestion de la qualité totale (TQM) et la performance bancaire.</w:t>
      </w:r>
    </w:p>
    <w:p w14:paraId="58B9EC62" w14:textId="34A192C7" w:rsidR="005E44FA" w:rsidRPr="00776963" w:rsidRDefault="00776963" w:rsidP="00776963">
      <w:pPr>
        <w:jc w:val="both"/>
        <w:rPr>
          <w:rFonts w:asciiTheme="majorBidi" w:hAnsiTheme="majorBidi" w:cstheme="majorBidi"/>
          <w:sz w:val="24"/>
          <w:szCs w:val="24"/>
        </w:rPr>
      </w:pPr>
      <w:r w:rsidRPr="00776963">
        <w:rPr>
          <w:rFonts w:asciiTheme="majorBidi" w:hAnsiTheme="majorBidi" w:cstheme="majorBidi"/>
          <w:sz w:val="24"/>
          <w:szCs w:val="24"/>
        </w:rPr>
        <w:t>H5 : L’orientation client et l’amélioration continue des processus exercent un effet positif et significatif sur la qualité de service bancaire.</w:t>
      </w:r>
    </w:p>
    <w:p w14:paraId="6FAE5C24"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Ces hypothèses traduisent les relations directes et indirectes postulées entre les variables du modèle et constituent la base empirique des tests statistiques réalisés dans la suite de l’article.</w:t>
      </w:r>
    </w:p>
    <w:p w14:paraId="1839B61B" w14:textId="77777777" w:rsidR="004D4085" w:rsidRPr="004D4085" w:rsidRDefault="004D4085" w:rsidP="004D4085">
      <w:pPr>
        <w:jc w:val="both"/>
        <w:rPr>
          <w:rFonts w:asciiTheme="majorBidi" w:hAnsiTheme="majorBidi" w:cstheme="majorBidi"/>
          <w:b/>
          <w:bCs/>
          <w:sz w:val="24"/>
          <w:szCs w:val="24"/>
        </w:rPr>
      </w:pPr>
      <w:r w:rsidRPr="004D4085">
        <w:rPr>
          <w:rFonts w:asciiTheme="majorBidi" w:hAnsiTheme="majorBidi" w:cstheme="majorBidi"/>
          <w:b/>
          <w:bCs/>
          <w:sz w:val="24"/>
          <w:szCs w:val="24"/>
        </w:rPr>
        <w:t>3.5. Présentation du modèle conceptuel</w:t>
      </w:r>
    </w:p>
    <w:p w14:paraId="790BDFAE" w14:textId="77777777" w:rsidR="004D4085" w:rsidRPr="004D4085" w:rsidRDefault="004D4085" w:rsidP="004D4085">
      <w:pPr>
        <w:jc w:val="both"/>
        <w:rPr>
          <w:rFonts w:asciiTheme="majorBidi" w:hAnsiTheme="majorBidi" w:cstheme="majorBidi"/>
          <w:sz w:val="24"/>
          <w:szCs w:val="24"/>
        </w:rPr>
      </w:pPr>
      <w:r w:rsidRPr="004D4085">
        <w:rPr>
          <w:rFonts w:asciiTheme="majorBidi" w:hAnsiTheme="majorBidi" w:cstheme="majorBidi"/>
          <w:sz w:val="24"/>
          <w:szCs w:val="24"/>
        </w:rPr>
        <w:t xml:space="preserve">Le modèle conceptuel de la présente recherche repose sur une approche intégrative visant à analyser les relations entre les pratiques de la gestion de la qualité totale (Total </w:t>
      </w:r>
      <w:proofErr w:type="spellStart"/>
      <w:r w:rsidRPr="004D4085">
        <w:rPr>
          <w:rFonts w:asciiTheme="majorBidi" w:hAnsiTheme="majorBidi" w:cstheme="majorBidi"/>
          <w:sz w:val="24"/>
          <w:szCs w:val="24"/>
        </w:rPr>
        <w:t>Quality</w:t>
      </w:r>
      <w:proofErr w:type="spellEnd"/>
      <w:r w:rsidRPr="004D4085">
        <w:rPr>
          <w:rFonts w:asciiTheme="majorBidi" w:hAnsiTheme="majorBidi" w:cstheme="majorBidi"/>
          <w:sz w:val="24"/>
          <w:szCs w:val="24"/>
        </w:rPr>
        <w:t xml:space="preserve"> Management – TQM), la qualité de service et la performance bancaire. Il s’inscrit dans le prolongement des travaux théoriques et empiriques récents qui considèrent le TQM comme un levier stratégique d’amélioration de la performance globale des organisations, en particulier dans le secteur bancaire.</w:t>
      </w:r>
    </w:p>
    <w:p w14:paraId="5791070D" w14:textId="77777777" w:rsidR="004D4085" w:rsidRPr="004D4085" w:rsidRDefault="004D4085" w:rsidP="004D4085">
      <w:pPr>
        <w:jc w:val="both"/>
        <w:rPr>
          <w:rFonts w:asciiTheme="majorBidi" w:hAnsiTheme="majorBidi" w:cstheme="majorBidi"/>
          <w:sz w:val="24"/>
          <w:szCs w:val="24"/>
        </w:rPr>
      </w:pPr>
      <w:r w:rsidRPr="004D4085">
        <w:rPr>
          <w:rFonts w:asciiTheme="majorBidi" w:hAnsiTheme="majorBidi" w:cstheme="majorBidi"/>
          <w:sz w:val="24"/>
          <w:szCs w:val="24"/>
        </w:rPr>
        <w:t>Dans ce cadre, les pratiques du TQM sont appréhendées comme des variables explicatives influençant directement la performance bancaire. Ces pratiques englobent notamment l’engagement de la direction, l’implication du personnel, la formation continue, l’orientation client, le leadership managérial et l’amélioration continue des processus. Elles contribuent à renforcer l’efficacité organisationnelle, la qualité des opérations internes et la compétitivité des banques.</w:t>
      </w:r>
    </w:p>
    <w:p w14:paraId="71C86CD7" w14:textId="77777777" w:rsidR="004D4085" w:rsidRPr="004D4085" w:rsidRDefault="004D4085" w:rsidP="004D4085">
      <w:pPr>
        <w:jc w:val="both"/>
        <w:rPr>
          <w:rFonts w:asciiTheme="majorBidi" w:hAnsiTheme="majorBidi" w:cstheme="majorBidi"/>
          <w:sz w:val="24"/>
          <w:szCs w:val="24"/>
        </w:rPr>
      </w:pPr>
      <w:r w:rsidRPr="004D4085">
        <w:rPr>
          <w:rFonts w:asciiTheme="majorBidi" w:hAnsiTheme="majorBidi" w:cstheme="majorBidi"/>
          <w:sz w:val="24"/>
          <w:szCs w:val="24"/>
        </w:rPr>
        <w:t>Par ailleurs, la qualité de service est introduite comme une variable médiatrice centrale dans la relation entre le TQM et la performance bancaire. Elle reflète la perception des clients à l’égard des services offerts par les banques, notamment en termes de fiabilité, de réactivité, d’assurance, d’empathie et d’éléments tangibles. L’amélioration des pratiques du TQM favorise ainsi une meilleure qualité de service, laquelle se traduit à son tour par une amélioration de la performance bancaire, qu’elle soit organisationnelle, commerciale ou financière.</w:t>
      </w:r>
    </w:p>
    <w:p w14:paraId="31045C42" w14:textId="3E1EE964" w:rsidR="004D4085" w:rsidRPr="004D4085" w:rsidRDefault="004D4085" w:rsidP="00CC5AE9">
      <w:pPr>
        <w:jc w:val="both"/>
        <w:rPr>
          <w:rFonts w:asciiTheme="majorBidi" w:hAnsiTheme="majorBidi" w:cstheme="majorBidi"/>
          <w:sz w:val="24"/>
          <w:szCs w:val="24"/>
        </w:rPr>
      </w:pPr>
      <w:r w:rsidRPr="004D4085">
        <w:rPr>
          <w:rFonts w:asciiTheme="majorBidi" w:hAnsiTheme="majorBidi" w:cstheme="majorBidi"/>
          <w:sz w:val="24"/>
          <w:szCs w:val="24"/>
        </w:rPr>
        <w:t xml:space="preserve">Ainsi, le modèle conceptuel postule l’existence d’un double mécanisme d’influence : un effet </w:t>
      </w:r>
      <w:r w:rsidR="00CC5AE9" w:rsidRPr="00CC5AE9">
        <w:rPr>
          <w:rFonts w:asciiTheme="majorBidi" w:hAnsiTheme="majorBidi" w:cstheme="majorBidi"/>
          <w:sz w:val="24"/>
          <w:szCs w:val="24"/>
        </w:rPr>
        <w:t>principalement indirect</w:t>
      </w:r>
      <w:r w:rsidRPr="004D4085">
        <w:rPr>
          <w:rFonts w:asciiTheme="majorBidi" w:hAnsiTheme="majorBidi" w:cstheme="majorBidi"/>
          <w:sz w:val="24"/>
          <w:szCs w:val="24"/>
        </w:rPr>
        <w:t xml:space="preserve"> des pratiques de la gestion de la qualité totale sur la performance bancaire, et un effet indirect transitant par l’amélioration de la qualité de service. Cette approche permet de mieux comprendre les canaux par lesquels le TQM contribue à la création de valeur dans les banques, tout en offrant un cadre analytique cohérent pour la formulation et la vérification des hypothèses de recherche.</w:t>
      </w:r>
    </w:p>
    <w:p w14:paraId="5869A1CF" w14:textId="77777777" w:rsidR="005E44FA" w:rsidRPr="004D4085" w:rsidRDefault="005E44FA" w:rsidP="004D4085">
      <w:pPr>
        <w:jc w:val="both"/>
        <w:rPr>
          <w:rFonts w:asciiTheme="majorBidi" w:hAnsiTheme="majorBidi" w:cstheme="majorBidi"/>
          <w:b/>
          <w:bCs/>
          <w:sz w:val="24"/>
          <w:szCs w:val="24"/>
        </w:rPr>
      </w:pPr>
      <w:r w:rsidRPr="004D4085">
        <w:rPr>
          <w:rFonts w:asciiTheme="majorBidi" w:hAnsiTheme="majorBidi" w:cstheme="majorBidi"/>
          <w:b/>
          <w:bCs/>
          <w:sz w:val="24"/>
          <w:szCs w:val="24"/>
        </w:rPr>
        <w:t>4. Méthodologie de recherche</w:t>
      </w:r>
    </w:p>
    <w:p w14:paraId="677174EA"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 xml:space="preserve">Cette section présente la démarche méthodologique adoptée pour tester empiriquement le modèle conceptuel proposé et les hypothèses de recherche formulées. Elle précise le type de </w:t>
      </w:r>
      <w:r w:rsidRPr="004D4085">
        <w:rPr>
          <w:rFonts w:asciiTheme="majorBidi" w:hAnsiTheme="majorBidi" w:cstheme="majorBidi"/>
          <w:sz w:val="24"/>
          <w:szCs w:val="24"/>
        </w:rPr>
        <w:lastRenderedPageBreak/>
        <w:t>recherche, le design méthodologique, la population et l’échantillon, les instruments de mesure ainsi que les méthodes d’analyse des données.</w:t>
      </w:r>
    </w:p>
    <w:p w14:paraId="069F125F" w14:textId="77777777" w:rsidR="005E44FA" w:rsidRPr="004D4085" w:rsidRDefault="005E44FA" w:rsidP="004D4085">
      <w:pPr>
        <w:jc w:val="both"/>
        <w:rPr>
          <w:rFonts w:asciiTheme="majorBidi" w:hAnsiTheme="majorBidi" w:cstheme="majorBidi"/>
          <w:b/>
          <w:bCs/>
          <w:sz w:val="24"/>
          <w:szCs w:val="24"/>
        </w:rPr>
      </w:pPr>
      <w:r w:rsidRPr="004D4085">
        <w:rPr>
          <w:rFonts w:asciiTheme="majorBidi" w:hAnsiTheme="majorBidi" w:cstheme="majorBidi"/>
          <w:b/>
          <w:bCs/>
          <w:sz w:val="24"/>
          <w:szCs w:val="24"/>
        </w:rPr>
        <w:t>4.1. Type et design de la recherche</w:t>
      </w:r>
    </w:p>
    <w:p w14:paraId="1F90866E"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La présente recherche adopte une approche quantitative à visée explicative, visant à analyser les relations causales entre les pratiques de la gestion de la qualité totale (TQM), la qualité de service et la performance bancaire. Le choix de cette approche se justifie par la nature des hypothèses formulées et par la nécessité de tester statistiquement les relations entre les variables du modèle conceptuel, conformément aux pratiques courantes dans les études empiriques en management de la qualité et en performance bancaire (</w:t>
      </w:r>
      <w:proofErr w:type="spellStart"/>
      <w:r w:rsidRPr="004D4085">
        <w:rPr>
          <w:rFonts w:asciiTheme="majorBidi" w:hAnsiTheme="majorBidi" w:cstheme="majorBidi"/>
          <w:sz w:val="24"/>
          <w:szCs w:val="24"/>
        </w:rPr>
        <w:t>Kafetzopoulos</w:t>
      </w:r>
      <w:proofErr w:type="spellEnd"/>
      <w:r w:rsidRPr="004D4085">
        <w:rPr>
          <w:rFonts w:asciiTheme="majorBidi" w:hAnsiTheme="majorBidi" w:cstheme="majorBidi"/>
          <w:sz w:val="24"/>
          <w:szCs w:val="24"/>
        </w:rPr>
        <w:t xml:space="preserve"> et al., 2019 ; Khan et al., 2023).</w:t>
      </w:r>
    </w:p>
    <w:p w14:paraId="0681DB1E"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Le design de la recherche repose sur une étude transversale, permettant de collecter les données à un moment donné et d’analyser les perceptions des répondants relatives aux pratiques de TQM et à la qualité de service, ainsi que leur relation avec la performance financière des banques étudiées.</w:t>
      </w:r>
    </w:p>
    <w:p w14:paraId="3EBFC75E"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4.2. Population et échantillon de l’étude</w:t>
      </w:r>
    </w:p>
    <w:p w14:paraId="5E504733" w14:textId="1B8598B4" w:rsidR="005E44FA" w:rsidRPr="004D4085" w:rsidRDefault="005E44FA" w:rsidP="004D4085">
      <w:pPr>
        <w:rPr>
          <w:rFonts w:asciiTheme="majorBidi" w:hAnsiTheme="majorBidi" w:cstheme="majorBidi"/>
          <w:sz w:val="24"/>
          <w:szCs w:val="24"/>
        </w:rPr>
      </w:pPr>
      <w:r w:rsidRPr="004D4085">
        <w:rPr>
          <w:rFonts w:asciiTheme="majorBidi" w:hAnsiTheme="majorBidi" w:cstheme="majorBidi"/>
          <w:sz w:val="24"/>
          <w:szCs w:val="24"/>
        </w:rPr>
        <w:t>La population de l’étude est constituée des banques opérant en Mauritanie, incluant les établissements bancaires traditionnels. L’enquête a été menée auprès de trois catégories d’acteurs clés du secteur bancaire :</w:t>
      </w:r>
      <w:r w:rsidRPr="004D4085">
        <w:rPr>
          <w:rFonts w:asciiTheme="majorBidi" w:hAnsiTheme="majorBidi" w:cstheme="majorBidi"/>
          <w:sz w:val="24"/>
          <w:szCs w:val="24"/>
        </w:rPr>
        <w:br/>
      </w:r>
      <w:r w:rsidR="004D4085">
        <w:rPr>
          <w:rFonts w:asciiTheme="majorBidi" w:hAnsiTheme="majorBidi" w:cstheme="majorBidi"/>
          <w:sz w:val="24"/>
          <w:szCs w:val="24"/>
        </w:rPr>
        <w:t>-</w:t>
      </w:r>
      <w:r w:rsidRPr="004D4085">
        <w:rPr>
          <w:rFonts w:asciiTheme="majorBidi" w:hAnsiTheme="majorBidi" w:cstheme="majorBidi"/>
          <w:sz w:val="24"/>
          <w:szCs w:val="24"/>
        </w:rPr>
        <w:t>les dirigeants et cadres bancaires,</w:t>
      </w:r>
      <w:r w:rsidRPr="004D4085">
        <w:rPr>
          <w:rFonts w:asciiTheme="majorBidi" w:hAnsiTheme="majorBidi" w:cstheme="majorBidi"/>
          <w:sz w:val="24"/>
          <w:szCs w:val="24"/>
        </w:rPr>
        <w:br/>
      </w:r>
      <w:r w:rsidR="004D4085">
        <w:rPr>
          <w:rFonts w:asciiTheme="majorBidi" w:hAnsiTheme="majorBidi" w:cstheme="majorBidi"/>
          <w:sz w:val="24"/>
          <w:szCs w:val="24"/>
        </w:rPr>
        <w:t>-</w:t>
      </w:r>
      <w:r w:rsidRPr="004D4085">
        <w:rPr>
          <w:rFonts w:asciiTheme="majorBidi" w:hAnsiTheme="majorBidi" w:cstheme="majorBidi"/>
          <w:sz w:val="24"/>
          <w:szCs w:val="24"/>
        </w:rPr>
        <w:t>les employés,</w:t>
      </w:r>
      <w:r w:rsidRPr="004D4085">
        <w:rPr>
          <w:rFonts w:asciiTheme="majorBidi" w:hAnsiTheme="majorBidi" w:cstheme="majorBidi"/>
          <w:sz w:val="24"/>
          <w:szCs w:val="24"/>
        </w:rPr>
        <w:br/>
      </w:r>
      <w:r w:rsidR="004D4085">
        <w:rPr>
          <w:rFonts w:asciiTheme="majorBidi" w:hAnsiTheme="majorBidi" w:cstheme="majorBidi"/>
          <w:sz w:val="24"/>
          <w:szCs w:val="24"/>
        </w:rPr>
        <w:t>-</w:t>
      </w:r>
      <w:r w:rsidRPr="004D4085">
        <w:rPr>
          <w:rFonts w:asciiTheme="majorBidi" w:hAnsiTheme="majorBidi" w:cstheme="majorBidi"/>
          <w:sz w:val="24"/>
          <w:szCs w:val="24"/>
        </w:rPr>
        <w:t>les clients des banques.</w:t>
      </w:r>
    </w:p>
    <w:p w14:paraId="48C85880"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Cette approche multi-acteurs permet de mieux appréhender les pratiques de TQM au niveau organisationnel et d’évaluer la qualité de service du point de vue des clients, conformément aux recommandations de la littérature récente (Nguyen &amp; Pham, 2023 ; Al-</w:t>
      </w:r>
      <w:proofErr w:type="spellStart"/>
      <w:r w:rsidRPr="004D4085">
        <w:rPr>
          <w:rFonts w:asciiTheme="majorBidi" w:hAnsiTheme="majorBidi" w:cstheme="majorBidi"/>
          <w:sz w:val="24"/>
          <w:szCs w:val="24"/>
        </w:rPr>
        <w:t>Hawary</w:t>
      </w:r>
      <w:proofErr w:type="spellEnd"/>
      <w:r w:rsidRPr="004D4085">
        <w:rPr>
          <w:rFonts w:asciiTheme="majorBidi" w:hAnsiTheme="majorBidi" w:cstheme="majorBidi"/>
          <w:sz w:val="24"/>
          <w:szCs w:val="24"/>
        </w:rPr>
        <w:t>, 2024). L’échantillon a été constitué selon une méthode d’échantillonnage raisonné, tenant compte de l’accessibilité des répondants et des contraintes du terrain.</w:t>
      </w:r>
    </w:p>
    <w:p w14:paraId="48F812B2" w14:textId="77777777" w:rsidR="005E44FA" w:rsidRPr="004D4085" w:rsidRDefault="005E44FA" w:rsidP="004D4085">
      <w:pPr>
        <w:jc w:val="both"/>
        <w:rPr>
          <w:rFonts w:asciiTheme="majorBidi" w:hAnsiTheme="majorBidi" w:cstheme="majorBidi"/>
          <w:b/>
          <w:bCs/>
          <w:sz w:val="24"/>
          <w:szCs w:val="24"/>
        </w:rPr>
      </w:pPr>
      <w:r w:rsidRPr="004D4085">
        <w:rPr>
          <w:rFonts w:asciiTheme="majorBidi" w:hAnsiTheme="majorBidi" w:cstheme="majorBidi"/>
          <w:b/>
          <w:bCs/>
          <w:sz w:val="24"/>
          <w:szCs w:val="24"/>
        </w:rPr>
        <w:t>4.3. Instruments de collecte des données</w:t>
      </w:r>
    </w:p>
    <w:p w14:paraId="6FF21B97"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Les données primaires ont été collectées à l’aide de questionnaires structurés, administrés aux dirigeants, aux employés et aux clients des banques étudiées. Les items du questionnaire relatifs à la gestion de la qualité totale ont été élaborés à partir des travaux antérieurs portant sur les dimensions du TQM, notamment l’orientation vers les employés, l’engagement et l’implication du personnel, la formation aux principes du TQM, le leadership de la direction générale, ainsi que l’orientation client et l’amélioration continue des processus (Talib, 2020 ; Khan et al., 2023).</w:t>
      </w:r>
    </w:p>
    <w:p w14:paraId="36196365"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La qualité de service a été mesurée à l’aide des dimensions du modèle SERVQUAL (fiabilité, réactivité, assurance, empathie et éléments tangibles), largement validé dans les études portant sur le secteur bancaire (</w:t>
      </w:r>
      <w:proofErr w:type="spellStart"/>
      <w:r w:rsidRPr="004D4085">
        <w:rPr>
          <w:rFonts w:asciiTheme="majorBidi" w:hAnsiTheme="majorBidi" w:cstheme="majorBidi"/>
          <w:sz w:val="24"/>
          <w:szCs w:val="24"/>
        </w:rPr>
        <w:t>Parasuraman</w:t>
      </w:r>
      <w:proofErr w:type="spellEnd"/>
      <w:r w:rsidRPr="004D4085">
        <w:rPr>
          <w:rFonts w:asciiTheme="majorBidi" w:hAnsiTheme="majorBidi" w:cstheme="majorBidi"/>
          <w:sz w:val="24"/>
          <w:szCs w:val="24"/>
        </w:rPr>
        <w:t xml:space="preserve"> et al., 2018 ; Nguyen &amp; Pham, 2023). L’ensemble des items a été évalué à l’aide d’une échelle de Likert à cinq points, allant de 1 (« fortement en désaccord ») à 5 (« fortement d’accord »).</w:t>
      </w:r>
    </w:p>
    <w:p w14:paraId="0706F721"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lastRenderedPageBreak/>
        <w:t>Les données relatives à la performance financière ont été collectées à partir des états financiers publiés officiellement par les banques étudiées, et la performance bancaire a été mesurée à l’aide de la rentabilité des fonds propres (ROE), indicateur couramment utilisé pour évaluer la performance financière des institutions bancaires (Khan et al., 2023).</w:t>
      </w:r>
    </w:p>
    <w:p w14:paraId="314373DF" w14:textId="77777777" w:rsidR="005E44FA" w:rsidRPr="004D4085" w:rsidRDefault="005E44FA" w:rsidP="004D4085">
      <w:pPr>
        <w:jc w:val="both"/>
        <w:rPr>
          <w:rFonts w:asciiTheme="majorBidi" w:hAnsiTheme="majorBidi" w:cstheme="majorBidi"/>
          <w:b/>
          <w:bCs/>
          <w:sz w:val="24"/>
          <w:szCs w:val="24"/>
        </w:rPr>
      </w:pPr>
      <w:r w:rsidRPr="004D4085">
        <w:rPr>
          <w:rFonts w:asciiTheme="majorBidi" w:hAnsiTheme="majorBidi" w:cstheme="majorBidi"/>
          <w:b/>
          <w:bCs/>
          <w:sz w:val="24"/>
          <w:szCs w:val="24"/>
        </w:rPr>
        <w:t>4.4. Méthodes d’analyse des données</w:t>
      </w:r>
    </w:p>
    <w:p w14:paraId="03C10569"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Le traitement et l’analyse des données ont été réalisés à l’aide du logiciel SPSS. L’analyse empirique s’est déroulée en plusieurs étapes. Dans un premier temps, des statistiques descriptives ont été utilisées afin de présenter les caractéristiques générales des variables étudiées. Ensuite, la fiabilité des échelles de mesure a été évaluée à l’aide du coefficient alpha de Cronbach, afin de vérifier la cohérence interne des instruments utilisés.</w:t>
      </w:r>
    </w:p>
    <w:p w14:paraId="1EF946FE"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Dans un second temps, des tests d’hypothèses ont été effectués à l’aide du test t de Student, afin d’évaluer le niveau d’adoption des pratiques de TQM et de la qualité de service, ainsi que leur impact sur la performance bancaire. Enfin, l’analyse du rôle médiateur de la qualité de service a été réalisée conformément aux approches recommandées dans la littérature, en examinant successivement l’effet du TQM sur la performance bancaire, l’effet du TQM sur la qualité de service, et l’effet de la qualité de service sur la performance bancaire (Talib &amp; Rahman, 2024 ; Al-</w:t>
      </w:r>
      <w:proofErr w:type="spellStart"/>
      <w:r w:rsidRPr="004D4085">
        <w:rPr>
          <w:rFonts w:asciiTheme="majorBidi" w:hAnsiTheme="majorBidi" w:cstheme="majorBidi"/>
          <w:sz w:val="24"/>
          <w:szCs w:val="24"/>
        </w:rPr>
        <w:t>Hawary</w:t>
      </w:r>
      <w:proofErr w:type="spellEnd"/>
      <w:r w:rsidRPr="004D4085">
        <w:rPr>
          <w:rFonts w:asciiTheme="majorBidi" w:hAnsiTheme="majorBidi" w:cstheme="majorBidi"/>
          <w:sz w:val="24"/>
          <w:szCs w:val="24"/>
        </w:rPr>
        <w:t>, 2024).</w:t>
      </w:r>
    </w:p>
    <w:p w14:paraId="5C253A71"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Cette démarche méthodologique permet ainsi de tester de manière rigoureuse les relations directes et indirectes postulées par le modèle conceptuel, tout en assurant la validité et la fiabilité des résultats empiriques obtenus.</w:t>
      </w:r>
    </w:p>
    <w:p w14:paraId="0FF01FBE" w14:textId="77777777" w:rsidR="005E44FA" w:rsidRPr="004D4085" w:rsidRDefault="005E44FA" w:rsidP="004D4085">
      <w:pPr>
        <w:jc w:val="both"/>
        <w:rPr>
          <w:rFonts w:asciiTheme="majorBidi" w:hAnsiTheme="majorBidi" w:cstheme="majorBidi"/>
          <w:b/>
          <w:bCs/>
          <w:sz w:val="24"/>
          <w:szCs w:val="24"/>
        </w:rPr>
      </w:pPr>
      <w:r w:rsidRPr="004D4085">
        <w:rPr>
          <w:rFonts w:asciiTheme="majorBidi" w:hAnsiTheme="majorBidi" w:cstheme="majorBidi"/>
          <w:b/>
          <w:bCs/>
          <w:sz w:val="24"/>
          <w:szCs w:val="24"/>
        </w:rPr>
        <w:t>5. Résultats empiriques</w:t>
      </w:r>
    </w:p>
    <w:p w14:paraId="01D18A20" w14:textId="0186A6F6"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Cette section présente les principaux résultats empiriques issus de l’analyse des données collectées. Elle s’articule autour de la vérification de la fiabilité des instruments de mesure, de l’analyse descriptive des variables, puis du test des hypothèses relatives à la gestion de la qualité totale, à la qualité de service et à la performance bancaire.</w:t>
      </w:r>
    </w:p>
    <w:p w14:paraId="5EAC8CB8" w14:textId="77777777" w:rsidR="005E44FA" w:rsidRPr="004D4085" w:rsidRDefault="005E44FA" w:rsidP="004D4085">
      <w:pPr>
        <w:jc w:val="both"/>
        <w:rPr>
          <w:rFonts w:asciiTheme="majorBidi" w:hAnsiTheme="majorBidi" w:cstheme="majorBidi"/>
          <w:b/>
          <w:bCs/>
          <w:sz w:val="24"/>
          <w:szCs w:val="24"/>
        </w:rPr>
      </w:pPr>
      <w:r w:rsidRPr="004D4085">
        <w:rPr>
          <w:rFonts w:asciiTheme="majorBidi" w:hAnsiTheme="majorBidi" w:cstheme="majorBidi"/>
          <w:b/>
          <w:bCs/>
          <w:sz w:val="24"/>
          <w:szCs w:val="24"/>
        </w:rPr>
        <w:t>5.1. Fiabilité des instruments de mesure</w:t>
      </w:r>
    </w:p>
    <w:p w14:paraId="1C9F574C" w14:textId="77777777" w:rsidR="005E44FA" w:rsidRPr="004D4085" w:rsidRDefault="005E44FA" w:rsidP="004D4085">
      <w:pPr>
        <w:jc w:val="both"/>
        <w:rPr>
          <w:rFonts w:asciiTheme="majorBidi" w:hAnsiTheme="majorBidi" w:cstheme="majorBidi"/>
          <w:sz w:val="24"/>
          <w:szCs w:val="24"/>
        </w:rPr>
      </w:pPr>
      <w:r w:rsidRPr="004D4085">
        <w:rPr>
          <w:rFonts w:asciiTheme="majorBidi" w:hAnsiTheme="majorBidi" w:cstheme="majorBidi"/>
          <w:sz w:val="24"/>
          <w:szCs w:val="24"/>
        </w:rPr>
        <w:t>Avant de procéder aux tests d’hypothèses, la fiabilité des échelles de mesure utilisées pour évaluer les pratiques de la gestion de la qualité totale (TQM</w:t>
      </w:r>
    </w:p>
    <w:p w14:paraId="0FF1EF08"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5. Résultats empiriques</w:t>
      </w:r>
    </w:p>
    <w:p w14:paraId="75AA9421" w14:textId="4DF44935"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Cette section présente les résultats empiriques issus de l’analyse des données collectées. Elle commence par l’évaluation de la fiabilité des instruments de mesure, puis expose les statistiques descriptives et les résultats des tests d’hypothèses relatifs aux pratiques de la gestion de la qualité totale, à la qualité de service et à la performance bancaire.</w:t>
      </w:r>
    </w:p>
    <w:p w14:paraId="2C01A7F5" w14:textId="77777777" w:rsidR="00DC0157" w:rsidRPr="004D4085" w:rsidRDefault="00DC0157" w:rsidP="004D4085">
      <w:pPr>
        <w:jc w:val="both"/>
        <w:rPr>
          <w:rFonts w:asciiTheme="majorBidi" w:hAnsiTheme="majorBidi" w:cstheme="majorBidi"/>
          <w:b/>
          <w:bCs/>
          <w:sz w:val="24"/>
          <w:szCs w:val="24"/>
        </w:rPr>
      </w:pPr>
      <w:r w:rsidRPr="004D4085">
        <w:rPr>
          <w:rFonts w:asciiTheme="majorBidi" w:hAnsiTheme="majorBidi" w:cstheme="majorBidi"/>
          <w:b/>
          <w:bCs/>
          <w:sz w:val="24"/>
          <w:szCs w:val="24"/>
        </w:rPr>
        <w:t>5.1. Fiabilité des instruments de mesure</w:t>
      </w:r>
    </w:p>
    <w:p w14:paraId="5695201E" w14:textId="77777777" w:rsidR="00DC0157" w:rsidRPr="004D4085" w:rsidRDefault="00DC0157" w:rsidP="004D4085">
      <w:pPr>
        <w:jc w:val="both"/>
        <w:rPr>
          <w:rFonts w:asciiTheme="majorBidi" w:hAnsiTheme="majorBidi" w:cstheme="majorBidi"/>
          <w:sz w:val="24"/>
          <w:szCs w:val="24"/>
          <w:rtl/>
        </w:rPr>
      </w:pPr>
      <w:r w:rsidRPr="004D4085">
        <w:rPr>
          <w:rFonts w:asciiTheme="majorBidi" w:hAnsiTheme="majorBidi" w:cstheme="majorBidi"/>
          <w:sz w:val="24"/>
          <w:szCs w:val="24"/>
        </w:rPr>
        <w:t xml:space="preserve">La fiabilité des échelles de mesure utilisées pour évaluer les pratiques de la gestion de la qualité totale (TQM) et les dimensions de la qualité de service a été vérifiée à l’aide du coefficient alpha de Cronbach. Cette étape vise à s’assurer de la cohérence interne des items composant </w:t>
      </w:r>
      <w:r w:rsidRPr="004D4085">
        <w:rPr>
          <w:rFonts w:asciiTheme="majorBidi" w:hAnsiTheme="majorBidi" w:cstheme="majorBidi"/>
          <w:sz w:val="24"/>
          <w:szCs w:val="24"/>
        </w:rPr>
        <w:lastRenderedPageBreak/>
        <w:t>chaque dimension, conformément aux recommandations méthodologiques en sciences de gestion.</w:t>
      </w:r>
    </w:p>
    <w:p w14:paraId="19661639" w14:textId="5FEAE3FC" w:rsidR="009A60F1" w:rsidRPr="004D4085" w:rsidRDefault="009A60F1" w:rsidP="004D4085">
      <w:pPr>
        <w:rPr>
          <w:rFonts w:asciiTheme="majorBidi" w:hAnsiTheme="majorBidi" w:cstheme="majorBidi"/>
          <w:sz w:val="24"/>
          <w:szCs w:val="24"/>
        </w:rPr>
      </w:pPr>
      <w:r w:rsidRPr="004D4085">
        <w:rPr>
          <w:rFonts w:asciiTheme="majorBidi" w:hAnsiTheme="majorBidi" w:cstheme="majorBidi"/>
          <w:sz w:val="24"/>
          <w:szCs w:val="24"/>
        </w:rPr>
        <w:t>Afin de tester les hypothèses de recherche et d’examiner le rôle médiateur de la qualité de service dans la relation entre la gestion de la qualité totale et la performance bancaire, l’étude adopte une approche d’analyse séquentielle.</w:t>
      </w:r>
      <w:r w:rsidRPr="004D4085">
        <w:rPr>
          <w:rFonts w:asciiTheme="majorBidi" w:hAnsiTheme="majorBidi" w:cstheme="majorBidi"/>
          <w:sz w:val="24"/>
          <w:szCs w:val="24"/>
        </w:rPr>
        <w:br/>
        <w:t>L’analyse de la médiation repose sur une approche séquentielle inspirée des travaux de Baron et Kenny, combinant l’examen des relations directes et indirectes entre les variables.</w:t>
      </w:r>
      <w:r w:rsidRPr="004D4085">
        <w:rPr>
          <w:rFonts w:asciiTheme="majorBidi" w:hAnsiTheme="majorBidi" w:cstheme="majorBidi"/>
          <w:sz w:val="24"/>
          <w:szCs w:val="24"/>
        </w:rPr>
        <w:br/>
        <w:t>Cette démarche permet d’évaluer, de manière progressive, l’effet de la gestion de la qualité totale sur la performance bancaire, ainsi que l’effet indirect exercé à travers la qualité de service.</w:t>
      </w:r>
    </w:p>
    <w:p w14:paraId="13DB7504" w14:textId="66B1CBBB" w:rsidR="00DE22B5" w:rsidRPr="004D4085" w:rsidRDefault="00DC0157" w:rsidP="004D4085">
      <w:pPr>
        <w:jc w:val="both"/>
        <w:rPr>
          <w:rFonts w:asciiTheme="majorBidi" w:hAnsiTheme="majorBidi" w:cstheme="majorBidi"/>
          <w:sz w:val="24"/>
          <w:szCs w:val="24"/>
          <w:rtl/>
        </w:rPr>
      </w:pPr>
      <w:r w:rsidRPr="004D4085">
        <w:rPr>
          <w:rFonts w:asciiTheme="majorBidi" w:hAnsiTheme="majorBidi" w:cstheme="majorBidi"/>
          <w:b/>
          <w:bCs/>
          <w:sz w:val="24"/>
          <w:szCs w:val="24"/>
        </w:rPr>
        <w:t>Tableau 1 :</w:t>
      </w:r>
      <w:r w:rsidRPr="004D4085">
        <w:rPr>
          <w:rFonts w:asciiTheme="majorBidi" w:hAnsiTheme="majorBidi" w:cstheme="majorBidi"/>
          <w:sz w:val="24"/>
          <w:szCs w:val="24"/>
        </w:rPr>
        <w:t xml:space="preserve"> Coefficients de fiabilité (Alpha de Cronbach) des dimensions de la gestion de la qualité totale (TQM)</w:t>
      </w:r>
    </w:p>
    <w:tbl>
      <w:tblPr>
        <w:tblStyle w:val="Grilledutableau"/>
        <w:tblW w:w="5130" w:type="pct"/>
        <w:tblLayout w:type="fixed"/>
        <w:tblLook w:val="04A0" w:firstRow="1" w:lastRow="0" w:firstColumn="1" w:lastColumn="0" w:noHBand="0" w:noVBand="1"/>
      </w:tblPr>
      <w:tblGrid>
        <w:gridCol w:w="3684"/>
        <w:gridCol w:w="2613"/>
        <w:gridCol w:w="3001"/>
      </w:tblGrid>
      <w:tr w:rsidR="00DE22B5" w:rsidRPr="004D4085" w14:paraId="6F1C96AC" w14:textId="77777777" w:rsidTr="00180A8D">
        <w:trPr>
          <w:trHeight w:val="501"/>
        </w:trPr>
        <w:tc>
          <w:tcPr>
            <w:tcW w:w="1981" w:type="pct"/>
            <w:hideMark/>
          </w:tcPr>
          <w:p w14:paraId="41982834" w14:textId="77777777" w:rsidR="00DE22B5" w:rsidRPr="003A6D9C" w:rsidRDefault="00DE22B5" w:rsidP="004D4085">
            <w:pPr>
              <w:jc w:val="both"/>
              <w:rPr>
                <w:rFonts w:asciiTheme="majorBidi" w:hAnsiTheme="majorBidi" w:cstheme="majorBidi"/>
                <w:b/>
                <w:bCs/>
                <w:sz w:val="24"/>
                <w:szCs w:val="24"/>
              </w:rPr>
            </w:pPr>
            <w:r w:rsidRPr="003A6D9C">
              <w:rPr>
                <w:rFonts w:asciiTheme="majorBidi" w:hAnsiTheme="majorBidi" w:cstheme="majorBidi"/>
                <w:b/>
                <w:bCs/>
                <w:sz w:val="24"/>
                <w:szCs w:val="24"/>
                <w:lang w:val="en-US"/>
              </w:rPr>
              <w:t>Dimension</w:t>
            </w:r>
          </w:p>
        </w:tc>
        <w:tc>
          <w:tcPr>
            <w:tcW w:w="1405" w:type="pct"/>
            <w:hideMark/>
          </w:tcPr>
          <w:p w14:paraId="054B1DAC" w14:textId="77777777" w:rsidR="00DE22B5" w:rsidRPr="003A6D9C" w:rsidRDefault="00DE22B5" w:rsidP="004D4085">
            <w:pPr>
              <w:jc w:val="both"/>
              <w:rPr>
                <w:rFonts w:asciiTheme="majorBidi" w:hAnsiTheme="majorBidi" w:cstheme="majorBidi"/>
                <w:b/>
                <w:bCs/>
                <w:sz w:val="24"/>
                <w:szCs w:val="24"/>
              </w:rPr>
            </w:pPr>
            <w:r w:rsidRPr="003A6D9C">
              <w:rPr>
                <w:rFonts w:asciiTheme="majorBidi" w:hAnsiTheme="majorBidi" w:cstheme="majorBidi"/>
                <w:b/>
                <w:bCs/>
                <w:sz w:val="24"/>
                <w:szCs w:val="24"/>
                <w:lang w:val="en-US"/>
              </w:rPr>
              <w:t xml:space="preserve">Nombre </w:t>
            </w:r>
            <w:proofErr w:type="spellStart"/>
            <w:r w:rsidRPr="003A6D9C">
              <w:rPr>
                <w:rFonts w:asciiTheme="majorBidi" w:hAnsiTheme="majorBidi" w:cstheme="majorBidi"/>
                <w:b/>
                <w:bCs/>
                <w:sz w:val="24"/>
                <w:szCs w:val="24"/>
                <w:lang w:val="en-US"/>
              </w:rPr>
              <w:t>d’items</w:t>
            </w:r>
            <w:proofErr w:type="spellEnd"/>
          </w:p>
        </w:tc>
        <w:tc>
          <w:tcPr>
            <w:tcW w:w="1614" w:type="pct"/>
            <w:hideMark/>
          </w:tcPr>
          <w:p w14:paraId="2DBE0D9A" w14:textId="77777777" w:rsidR="00DE22B5" w:rsidRPr="003A6D9C" w:rsidRDefault="00DE22B5" w:rsidP="004D4085">
            <w:pPr>
              <w:jc w:val="both"/>
              <w:rPr>
                <w:rFonts w:asciiTheme="majorBidi" w:hAnsiTheme="majorBidi" w:cstheme="majorBidi"/>
                <w:b/>
                <w:bCs/>
                <w:sz w:val="24"/>
                <w:szCs w:val="24"/>
              </w:rPr>
            </w:pPr>
            <w:r w:rsidRPr="003A6D9C">
              <w:rPr>
                <w:rFonts w:asciiTheme="majorBidi" w:hAnsiTheme="majorBidi" w:cstheme="majorBidi"/>
                <w:b/>
                <w:bCs/>
                <w:sz w:val="24"/>
                <w:szCs w:val="24"/>
                <w:lang w:val="en-US"/>
              </w:rPr>
              <w:t>Alpha de Cronbach</w:t>
            </w:r>
          </w:p>
        </w:tc>
      </w:tr>
      <w:tr w:rsidR="00DE22B5" w:rsidRPr="004D4085" w14:paraId="50A4E180" w14:textId="77777777" w:rsidTr="00180A8D">
        <w:trPr>
          <w:trHeight w:val="411"/>
        </w:trPr>
        <w:tc>
          <w:tcPr>
            <w:tcW w:w="1981" w:type="pct"/>
            <w:hideMark/>
          </w:tcPr>
          <w:p w14:paraId="36CD3A7F" w14:textId="4AB54806" w:rsidR="00DE22B5" w:rsidRPr="004D4085" w:rsidRDefault="0059445E" w:rsidP="004D4085">
            <w:pPr>
              <w:jc w:val="both"/>
              <w:rPr>
                <w:rFonts w:asciiTheme="majorBidi" w:hAnsiTheme="majorBidi" w:cstheme="majorBidi"/>
                <w:sz w:val="24"/>
                <w:szCs w:val="24"/>
              </w:rPr>
            </w:pPr>
            <w:proofErr w:type="spellStart"/>
            <w:r>
              <w:rPr>
                <w:rFonts w:asciiTheme="majorBidi" w:hAnsiTheme="majorBidi" w:cstheme="majorBidi"/>
                <w:sz w:val="24"/>
                <w:szCs w:val="24"/>
                <w:lang w:val="en-US"/>
              </w:rPr>
              <w:t>Amélioration</w:t>
            </w:r>
            <w:proofErr w:type="spellEnd"/>
            <w:r w:rsidR="00DE22B5" w:rsidRPr="004D4085">
              <w:rPr>
                <w:rFonts w:asciiTheme="majorBidi" w:hAnsiTheme="majorBidi" w:cstheme="majorBidi"/>
                <w:sz w:val="24"/>
                <w:szCs w:val="24"/>
                <w:lang w:val="en-US"/>
              </w:rPr>
              <w:t xml:space="preserve"> continue</w:t>
            </w:r>
          </w:p>
        </w:tc>
        <w:tc>
          <w:tcPr>
            <w:tcW w:w="1405" w:type="pct"/>
            <w:hideMark/>
          </w:tcPr>
          <w:p w14:paraId="7A49F745"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4</w:t>
            </w:r>
          </w:p>
        </w:tc>
        <w:tc>
          <w:tcPr>
            <w:tcW w:w="1614" w:type="pct"/>
            <w:hideMark/>
          </w:tcPr>
          <w:p w14:paraId="02A009CE"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0,731</w:t>
            </w:r>
          </w:p>
        </w:tc>
      </w:tr>
      <w:tr w:rsidR="00DE22B5" w:rsidRPr="004D4085" w14:paraId="1F6CADA1" w14:textId="77777777" w:rsidTr="00180A8D">
        <w:trPr>
          <w:trHeight w:val="474"/>
        </w:trPr>
        <w:tc>
          <w:tcPr>
            <w:tcW w:w="1981" w:type="pct"/>
            <w:hideMark/>
          </w:tcPr>
          <w:p w14:paraId="606BD826" w14:textId="77777777" w:rsidR="00DE22B5" w:rsidRPr="004D4085" w:rsidRDefault="00DE22B5" w:rsidP="004D4085">
            <w:pPr>
              <w:jc w:val="both"/>
              <w:rPr>
                <w:rFonts w:asciiTheme="majorBidi" w:hAnsiTheme="majorBidi" w:cstheme="majorBidi"/>
                <w:sz w:val="24"/>
                <w:szCs w:val="24"/>
              </w:rPr>
            </w:pPr>
            <w:proofErr w:type="spellStart"/>
            <w:r w:rsidRPr="004D4085">
              <w:rPr>
                <w:rFonts w:asciiTheme="majorBidi" w:hAnsiTheme="majorBidi" w:cstheme="majorBidi"/>
                <w:sz w:val="24"/>
                <w:szCs w:val="24"/>
                <w:lang w:val="en-US"/>
              </w:rPr>
              <w:t>Centrage</w:t>
            </w:r>
            <w:proofErr w:type="spellEnd"/>
            <w:r w:rsidRPr="004D4085">
              <w:rPr>
                <w:rFonts w:asciiTheme="majorBidi" w:hAnsiTheme="majorBidi" w:cstheme="majorBidi"/>
                <w:sz w:val="24"/>
                <w:szCs w:val="24"/>
                <w:lang w:val="en-US"/>
              </w:rPr>
              <w:t xml:space="preserve"> sur le client</w:t>
            </w:r>
          </w:p>
        </w:tc>
        <w:tc>
          <w:tcPr>
            <w:tcW w:w="1405" w:type="pct"/>
            <w:hideMark/>
          </w:tcPr>
          <w:p w14:paraId="245002D2"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4</w:t>
            </w:r>
          </w:p>
        </w:tc>
        <w:tc>
          <w:tcPr>
            <w:tcW w:w="1614" w:type="pct"/>
            <w:hideMark/>
          </w:tcPr>
          <w:p w14:paraId="2C89040A"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0,710</w:t>
            </w:r>
          </w:p>
        </w:tc>
      </w:tr>
      <w:tr w:rsidR="00DE22B5" w:rsidRPr="004D4085" w14:paraId="516E31BC" w14:textId="77777777" w:rsidTr="00180A8D">
        <w:trPr>
          <w:trHeight w:val="501"/>
        </w:trPr>
        <w:tc>
          <w:tcPr>
            <w:tcW w:w="1981" w:type="pct"/>
            <w:hideMark/>
          </w:tcPr>
          <w:p w14:paraId="274DC398"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 xml:space="preserve">Attention </w:t>
            </w:r>
            <w:proofErr w:type="spellStart"/>
            <w:r w:rsidRPr="004D4085">
              <w:rPr>
                <w:rFonts w:asciiTheme="majorBidi" w:hAnsiTheme="majorBidi" w:cstheme="majorBidi"/>
                <w:sz w:val="24"/>
                <w:szCs w:val="24"/>
                <w:lang w:val="en-US"/>
              </w:rPr>
              <w:t>portée</w:t>
            </w:r>
            <w:proofErr w:type="spellEnd"/>
            <w:r w:rsidRPr="004D4085">
              <w:rPr>
                <w:rFonts w:asciiTheme="majorBidi" w:hAnsiTheme="majorBidi" w:cstheme="majorBidi"/>
                <w:sz w:val="24"/>
                <w:szCs w:val="24"/>
                <w:lang w:val="en-US"/>
              </w:rPr>
              <w:t xml:space="preserve"> aux </w:t>
            </w:r>
            <w:proofErr w:type="spellStart"/>
            <w:r w:rsidRPr="004D4085">
              <w:rPr>
                <w:rFonts w:asciiTheme="majorBidi" w:hAnsiTheme="majorBidi" w:cstheme="majorBidi"/>
                <w:sz w:val="24"/>
                <w:szCs w:val="24"/>
                <w:lang w:val="en-US"/>
              </w:rPr>
              <w:t>employés</w:t>
            </w:r>
            <w:proofErr w:type="spellEnd"/>
          </w:p>
        </w:tc>
        <w:tc>
          <w:tcPr>
            <w:tcW w:w="1405" w:type="pct"/>
            <w:hideMark/>
          </w:tcPr>
          <w:p w14:paraId="6D556A58"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10</w:t>
            </w:r>
          </w:p>
        </w:tc>
        <w:tc>
          <w:tcPr>
            <w:tcW w:w="1614" w:type="pct"/>
            <w:hideMark/>
          </w:tcPr>
          <w:p w14:paraId="00DDA0CB"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0,850</w:t>
            </w:r>
          </w:p>
        </w:tc>
      </w:tr>
      <w:tr w:rsidR="00DE22B5" w:rsidRPr="004D4085" w14:paraId="1163B617" w14:textId="77777777" w:rsidTr="00180A8D">
        <w:trPr>
          <w:trHeight w:val="501"/>
        </w:trPr>
        <w:tc>
          <w:tcPr>
            <w:tcW w:w="1981" w:type="pct"/>
            <w:hideMark/>
          </w:tcPr>
          <w:p w14:paraId="0B76D6AA"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 xml:space="preserve">Attention de </w:t>
            </w:r>
            <w:proofErr w:type="spellStart"/>
            <w:r w:rsidRPr="004D4085">
              <w:rPr>
                <w:rFonts w:asciiTheme="majorBidi" w:hAnsiTheme="majorBidi" w:cstheme="majorBidi"/>
                <w:sz w:val="24"/>
                <w:szCs w:val="24"/>
                <w:lang w:val="en-US"/>
              </w:rPr>
              <w:t>l’encadrement</w:t>
            </w:r>
            <w:proofErr w:type="spellEnd"/>
            <w:r w:rsidRPr="004D4085">
              <w:rPr>
                <w:rFonts w:asciiTheme="majorBidi" w:hAnsiTheme="majorBidi" w:cstheme="majorBidi"/>
                <w:sz w:val="24"/>
                <w:szCs w:val="24"/>
                <w:lang w:val="en-US"/>
              </w:rPr>
              <w:t xml:space="preserve"> supérieur</w:t>
            </w:r>
          </w:p>
        </w:tc>
        <w:tc>
          <w:tcPr>
            <w:tcW w:w="1405" w:type="pct"/>
            <w:hideMark/>
          </w:tcPr>
          <w:p w14:paraId="6915DCC5"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5</w:t>
            </w:r>
          </w:p>
        </w:tc>
        <w:tc>
          <w:tcPr>
            <w:tcW w:w="1614" w:type="pct"/>
            <w:hideMark/>
          </w:tcPr>
          <w:p w14:paraId="06C3676F"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0,815</w:t>
            </w:r>
          </w:p>
        </w:tc>
      </w:tr>
      <w:tr w:rsidR="00DE22B5" w:rsidRPr="004D4085" w14:paraId="799EE34B" w14:textId="77777777" w:rsidTr="00180A8D">
        <w:trPr>
          <w:trHeight w:val="510"/>
        </w:trPr>
        <w:tc>
          <w:tcPr>
            <w:tcW w:w="1981" w:type="pct"/>
            <w:hideMark/>
          </w:tcPr>
          <w:p w14:paraId="394D3CA4"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rPr>
              <w:t>Introduction du concept de TQM</w:t>
            </w:r>
          </w:p>
        </w:tc>
        <w:tc>
          <w:tcPr>
            <w:tcW w:w="1405" w:type="pct"/>
            <w:hideMark/>
          </w:tcPr>
          <w:p w14:paraId="631C2077"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6</w:t>
            </w:r>
          </w:p>
        </w:tc>
        <w:tc>
          <w:tcPr>
            <w:tcW w:w="1614" w:type="pct"/>
            <w:hideMark/>
          </w:tcPr>
          <w:p w14:paraId="49165A9C"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0,791</w:t>
            </w:r>
          </w:p>
        </w:tc>
      </w:tr>
    </w:tbl>
    <w:p w14:paraId="31FE0EFE" w14:textId="26688C4F"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br/>
        <w:t>Source : Fait par l’auteur à partir des résultats du questionnaire (SPSS).</w:t>
      </w:r>
    </w:p>
    <w:p w14:paraId="25380D98" w14:textId="77777777" w:rsidR="001142DA" w:rsidRPr="004D4085" w:rsidRDefault="00DC0157" w:rsidP="004D4085">
      <w:pPr>
        <w:jc w:val="both"/>
        <w:rPr>
          <w:rFonts w:asciiTheme="majorBidi" w:hAnsiTheme="majorBidi" w:cstheme="majorBidi"/>
          <w:sz w:val="24"/>
          <w:szCs w:val="24"/>
          <w:rtl/>
        </w:rPr>
      </w:pPr>
      <w:r w:rsidRPr="004D4085">
        <w:rPr>
          <w:rFonts w:asciiTheme="majorBidi" w:hAnsiTheme="majorBidi" w:cstheme="majorBidi"/>
          <w:sz w:val="24"/>
          <w:szCs w:val="24"/>
        </w:rPr>
        <w:t>Les résultats indiquent que l’ensemble des dimensions du TQM présente des coefficients alpha de Cronbach supérieurs au seuil de 0,70, traduisant une bonne cohérence interne des échelles utilisées. Ces valeurs confirment la fiabilité des instruments de mesure relatifs aux pratiques de gestion de la qualité totale.</w:t>
      </w:r>
    </w:p>
    <w:p w14:paraId="0805B484" w14:textId="4D9D439F" w:rsidR="00DE22B5" w:rsidRPr="004D4085" w:rsidRDefault="00DC0157" w:rsidP="004D4085">
      <w:pPr>
        <w:jc w:val="both"/>
        <w:rPr>
          <w:rFonts w:asciiTheme="majorBidi" w:hAnsiTheme="majorBidi" w:cstheme="majorBidi"/>
          <w:sz w:val="24"/>
          <w:szCs w:val="24"/>
          <w:rtl/>
        </w:rPr>
      </w:pPr>
      <w:r w:rsidRPr="003A6D9C">
        <w:rPr>
          <w:rFonts w:asciiTheme="majorBidi" w:hAnsiTheme="majorBidi" w:cstheme="majorBidi"/>
          <w:b/>
          <w:bCs/>
          <w:sz w:val="24"/>
          <w:szCs w:val="24"/>
        </w:rPr>
        <w:t>Tableau 2</w:t>
      </w:r>
      <w:r w:rsidRPr="004D4085">
        <w:rPr>
          <w:rFonts w:asciiTheme="majorBidi" w:hAnsiTheme="majorBidi" w:cstheme="majorBidi"/>
          <w:sz w:val="24"/>
          <w:szCs w:val="24"/>
        </w:rPr>
        <w:t xml:space="preserve"> : Coefficients de fiabilité (Alpha de Cronbach) des dimensions de la qualité de service</w:t>
      </w:r>
    </w:p>
    <w:tbl>
      <w:tblPr>
        <w:tblStyle w:val="Grilledutableau"/>
        <w:tblW w:w="5000" w:type="pct"/>
        <w:tblLook w:val="04A0" w:firstRow="1" w:lastRow="0" w:firstColumn="1" w:lastColumn="0" w:noHBand="0" w:noVBand="1"/>
      </w:tblPr>
      <w:tblGrid>
        <w:gridCol w:w="3917"/>
        <w:gridCol w:w="2358"/>
        <w:gridCol w:w="2787"/>
      </w:tblGrid>
      <w:tr w:rsidR="00DE22B5" w:rsidRPr="004D4085" w14:paraId="02A0098C" w14:textId="77777777" w:rsidTr="001142DA">
        <w:trPr>
          <w:trHeight w:val="256"/>
        </w:trPr>
        <w:tc>
          <w:tcPr>
            <w:tcW w:w="2161" w:type="pct"/>
            <w:hideMark/>
          </w:tcPr>
          <w:p w14:paraId="5DEAD9CF"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Dimension</w:t>
            </w:r>
          </w:p>
        </w:tc>
        <w:tc>
          <w:tcPr>
            <w:tcW w:w="1301" w:type="pct"/>
            <w:hideMark/>
          </w:tcPr>
          <w:p w14:paraId="15B2BA56"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 xml:space="preserve">Nombre </w:t>
            </w:r>
            <w:proofErr w:type="spellStart"/>
            <w:r w:rsidRPr="004D4085">
              <w:rPr>
                <w:rFonts w:asciiTheme="majorBidi" w:hAnsiTheme="majorBidi" w:cstheme="majorBidi"/>
                <w:sz w:val="24"/>
                <w:szCs w:val="24"/>
                <w:lang w:val="en-US"/>
              </w:rPr>
              <w:t>d’items</w:t>
            </w:r>
            <w:proofErr w:type="spellEnd"/>
          </w:p>
        </w:tc>
        <w:tc>
          <w:tcPr>
            <w:tcW w:w="1538" w:type="pct"/>
            <w:hideMark/>
          </w:tcPr>
          <w:p w14:paraId="04A32A72"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Alpha de Cronbach</w:t>
            </w:r>
          </w:p>
        </w:tc>
      </w:tr>
      <w:tr w:rsidR="00DE22B5" w:rsidRPr="004D4085" w14:paraId="6402427E" w14:textId="77777777" w:rsidTr="001142DA">
        <w:trPr>
          <w:trHeight w:val="67"/>
        </w:trPr>
        <w:tc>
          <w:tcPr>
            <w:tcW w:w="2161" w:type="pct"/>
            <w:hideMark/>
          </w:tcPr>
          <w:p w14:paraId="509AE0D4"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Assurance</w:t>
            </w:r>
          </w:p>
        </w:tc>
        <w:tc>
          <w:tcPr>
            <w:tcW w:w="1301" w:type="pct"/>
            <w:hideMark/>
          </w:tcPr>
          <w:p w14:paraId="60AFFBDC"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3</w:t>
            </w:r>
          </w:p>
        </w:tc>
        <w:tc>
          <w:tcPr>
            <w:tcW w:w="1538" w:type="pct"/>
            <w:hideMark/>
          </w:tcPr>
          <w:p w14:paraId="5A5E0568"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0,898</w:t>
            </w:r>
          </w:p>
        </w:tc>
      </w:tr>
      <w:tr w:rsidR="00DE22B5" w:rsidRPr="004D4085" w14:paraId="1F4011BC" w14:textId="77777777" w:rsidTr="001142DA">
        <w:trPr>
          <w:trHeight w:val="319"/>
        </w:trPr>
        <w:tc>
          <w:tcPr>
            <w:tcW w:w="2161" w:type="pct"/>
            <w:hideMark/>
          </w:tcPr>
          <w:p w14:paraId="45BDC233" w14:textId="77777777" w:rsidR="00DE22B5" w:rsidRPr="004D4085" w:rsidRDefault="00DE22B5" w:rsidP="004D4085">
            <w:pPr>
              <w:jc w:val="both"/>
              <w:rPr>
                <w:rFonts w:asciiTheme="majorBidi" w:hAnsiTheme="majorBidi" w:cstheme="majorBidi"/>
                <w:sz w:val="24"/>
                <w:szCs w:val="24"/>
              </w:rPr>
            </w:pPr>
            <w:proofErr w:type="spellStart"/>
            <w:r w:rsidRPr="004D4085">
              <w:rPr>
                <w:rFonts w:asciiTheme="majorBidi" w:hAnsiTheme="majorBidi" w:cstheme="majorBidi"/>
                <w:sz w:val="24"/>
                <w:szCs w:val="24"/>
                <w:lang w:val="en-US"/>
              </w:rPr>
              <w:t>Empathie</w:t>
            </w:r>
            <w:proofErr w:type="spellEnd"/>
          </w:p>
        </w:tc>
        <w:tc>
          <w:tcPr>
            <w:tcW w:w="1301" w:type="pct"/>
            <w:hideMark/>
          </w:tcPr>
          <w:p w14:paraId="1BD003FC"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2</w:t>
            </w:r>
          </w:p>
        </w:tc>
        <w:tc>
          <w:tcPr>
            <w:tcW w:w="1538" w:type="pct"/>
            <w:hideMark/>
          </w:tcPr>
          <w:p w14:paraId="16358BC7"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0,913</w:t>
            </w:r>
          </w:p>
        </w:tc>
      </w:tr>
      <w:tr w:rsidR="00DE22B5" w:rsidRPr="004D4085" w14:paraId="535AC11B" w14:textId="77777777" w:rsidTr="001142DA">
        <w:trPr>
          <w:trHeight w:val="229"/>
        </w:trPr>
        <w:tc>
          <w:tcPr>
            <w:tcW w:w="2161" w:type="pct"/>
            <w:hideMark/>
          </w:tcPr>
          <w:p w14:paraId="77F514DD" w14:textId="77777777" w:rsidR="00DE22B5" w:rsidRPr="004D4085" w:rsidRDefault="00DE22B5" w:rsidP="004D4085">
            <w:pPr>
              <w:jc w:val="both"/>
              <w:rPr>
                <w:rFonts w:asciiTheme="majorBidi" w:hAnsiTheme="majorBidi" w:cstheme="majorBidi"/>
                <w:sz w:val="24"/>
                <w:szCs w:val="24"/>
              </w:rPr>
            </w:pPr>
            <w:proofErr w:type="spellStart"/>
            <w:r w:rsidRPr="004D4085">
              <w:rPr>
                <w:rFonts w:asciiTheme="majorBidi" w:hAnsiTheme="majorBidi" w:cstheme="majorBidi"/>
                <w:sz w:val="24"/>
                <w:szCs w:val="24"/>
                <w:lang w:val="en-US"/>
              </w:rPr>
              <w:t>Compétences</w:t>
            </w:r>
            <w:proofErr w:type="spellEnd"/>
            <w:r w:rsidRPr="004D4085">
              <w:rPr>
                <w:rFonts w:asciiTheme="majorBidi" w:hAnsiTheme="majorBidi" w:cstheme="majorBidi"/>
                <w:sz w:val="24"/>
                <w:szCs w:val="24"/>
                <w:lang w:val="en-US"/>
              </w:rPr>
              <w:t xml:space="preserve"> du personnel</w:t>
            </w:r>
          </w:p>
        </w:tc>
        <w:tc>
          <w:tcPr>
            <w:tcW w:w="1301" w:type="pct"/>
            <w:hideMark/>
          </w:tcPr>
          <w:p w14:paraId="102E4BA3"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2</w:t>
            </w:r>
          </w:p>
        </w:tc>
        <w:tc>
          <w:tcPr>
            <w:tcW w:w="1538" w:type="pct"/>
            <w:hideMark/>
          </w:tcPr>
          <w:p w14:paraId="5B186EAD"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0,831</w:t>
            </w:r>
          </w:p>
        </w:tc>
      </w:tr>
      <w:tr w:rsidR="00DE22B5" w:rsidRPr="004D4085" w14:paraId="2464CD28" w14:textId="77777777" w:rsidTr="001142DA">
        <w:trPr>
          <w:trHeight w:val="310"/>
        </w:trPr>
        <w:tc>
          <w:tcPr>
            <w:tcW w:w="2161" w:type="pct"/>
            <w:hideMark/>
          </w:tcPr>
          <w:p w14:paraId="5BAF15FA" w14:textId="77777777" w:rsidR="00DE22B5" w:rsidRPr="004D4085" w:rsidRDefault="00DE22B5" w:rsidP="004D4085">
            <w:pPr>
              <w:jc w:val="both"/>
              <w:rPr>
                <w:rFonts w:asciiTheme="majorBidi" w:hAnsiTheme="majorBidi" w:cstheme="majorBidi"/>
                <w:sz w:val="24"/>
                <w:szCs w:val="24"/>
              </w:rPr>
            </w:pPr>
            <w:proofErr w:type="spellStart"/>
            <w:r w:rsidRPr="004D4085">
              <w:rPr>
                <w:rFonts w:asciiTheme="majorBidi" w:hAnsiTheme="majorBidi" w:cstheme="majorBidi"/>
                <w:sz w:val="24"/>
                <w:szCs w:val="24"/>
                <w:lang w:val="en-US"/>
              </w:rPr>
              <w:t>Fiabilité</w:t>
            </w:r>
            <w:proofErr w:type="spellEnd"/>
          </w:p>
        </w:tc>
        <w:tc>
          <w:tcPr>
            <w:tcW w:w="1301" w:type="pct"/>
            <w:hideMark/>
          </w:tcPr>
          <w:p w14:paraId="66EB0A9C"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3</w:t>
            </w:r>
          </w:p>
        </w:tc>
        <w:tc>
          <w:tcPr>
            <w:tcW w:w="1538" w:type="pct"/>
            <w:hideMark/>
          </w:tcPr>
          <w:p w14:paraId="6202E700"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0,880</w:t>
            </w:r>
          </w:p>
        </w:tc>
      </w:tr>
      <w:tr w:rsidR="00DE22B5" w:rsidRPr="004D4085" w14:paraId="6FE8E52E" w14:textId="77777777" w:rsidTr="001142DA">
        <w:trPr>
          <w:trHeight w:val="211"/>
        </w:trPr>
        <w:tc>
          <w:tcPr>
            <w:tcW w:w="2161" w:type="pct"/>
            <w:hideMark/>
          </w:tcPr>
          <w:p w14:paraId="4A1F4F6C" w14:textId="77777777" w:rsidR="00DE22B5" w:rsidRPr="004D4085" w:rsidRDefault="00DE22B5" w:rsidP="004D4085">
            <w:pPr>
              <w:jc w:val="both"/>
              <w:rPr>
                <w:rFonts w:asciiTheme="majorBidi" w:hAnsiTheme="majorBidi" w:cstheme="majorBidi"/>
                <w:sz w:val="24"/>
                <w:szCs w:val="24"/>
              </w:rPr>
            </w:pPr>
            <w:proofErr w:type="spellStart"/>
            <w:r w:rsidRPr="004D4085">
              <w:rPr>
                <w:rFonts w:asciiTheme="majorBidi" w:hAnsiTheme="majorBidi" w:cstheme="majorBidi"/>
                <w:sz w:val="24"/>
                <w:szCs w:val="24"/>
                <w:lang w:val="en-US"/>
              </w:rPr>
              <w:t>Réactivité</w:t>
            </w:r>
            <w:proofErr w:type="spellEnd"/>
          </w:p>
        </w:tc>
        <w:tc>
          <w:tcPr>
            <w:tcW w:w="1301" w:type="pct"/>
            <w:hideMark/>
          </w:tcPr>
          <w:p w14:paraId="2E36BE8C"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3</w:t>
            </w:r>
          </w:p>
        </w:tc>
        <w:tc>
          <w:tcPr>
            <w:tcW w:w="1538" w:type="pct"/>
            <w:hideMark/>
          </w:tcPr>
          <w:p w14:paraId="0538D24F"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0,909</w:t>
            </w:r>
          </w:p>
        </w:tc>
      </w:tr>
      <w:tr w:rsidR="00DE22B5" w:rsidRPr="004D4085" w14:paraId="4DCD0517" w14:textId="77777777" w:rsidTr="001142DA">
        <w:trPr>
          <w:trHeight w:val="193"/>
        </w:trPr>
        <w:tc>
          <w:tcPr>
            <w:tcW w:w="2161" w:type="pct"/>
            <w:hideMark/>
          </w:tcPr>
          <w:p w14:paraId="54AD16A9" w14:textId="72F7FCB7" w:rsidR="00DE22B5" w:rsidRPr="004D4085" w:rsidRDefault="00DE22B5" w:rsidP="004D4085">
            <w:pPr>
              <w:jc w:val="both"/>
              <w:rPr>
                <w:rFonts w:asciiTheme="majorBidi" w:hAnsiTheme="majorBidi" w:cstheme="majorBidi"/>
                <w:sz w:val="24"/>
                <w:szCs w:val="24"/>
              </w:rPr>
            </w:pPr>
            <w:proofErr w:type="spellStart"/>
            <w:r w:rsidRPr="004D4085">
              <w:rPr>
                <w:rFonts w:asciiTheme="majorBidi" w:hAnsiTheme="majorBidi" w:cstheme="majorBidi"/>
                <w:sz w:val="24"/>
                <w:szCs w:val="24"/>
                <w:lang w:val="en-US"/>
              </w:rPr>
              <w:t>Tangibilité</w:t>
            </w:r>
            <w:proofErr w:type="spellEnd"/>
            <w:r w:rsidR="001142DA" w:rsidRPr="004D4085">
              <w:rPr>
                <w:rFonts w:asciiTheme="majorBidi" w:hAnsiTheme="majorBidi" w:cstheme="majorBidi"/>
                <w:sz w:val="24"/>
                <w:szCs w:val="24"/>
              </w:rPr>
              <w:tab/>
            </w:r>
          </w:p>
        </w:tc>
        <w:tc>
          <w:tcPr>
            <w:tcW w:w="1301" w:type="pct"/>
            <w:hideMark/>
          </w:tcPr>
          <w:p w14:paraId="0F4B4277"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3</w:t>
            </w:r>
          </w:p>
        </w:tc>
        <w:tc>
          <w:tcPr>
            <w:tcW w:w="1538" w:type="pct"/>
            <w:hideMark/>
          </w:tcPr>
          <w:p w14:paraId="55418660" w14:textId="77777777" w:rsidR="00DE22B5" w:rsidRPr="004D4085" w:rsidRDefault="00DE22B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0,891</w:t>
            </w:r>
          </w:p>
        </w:tc>
      </w:tr>
    </w:tbl>
    <w:p w14:paraId="4C943BCB" w14:textId="16BBCF58"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Source : Fait par l’auteur à partir des résultats du questionnaire (SPSS).</w:t>
      </w:r>
    </w:p>
    <w:p w14:paraId="7E800854" w14:textId="5D626280" w:rsidR="00DC0157" w:rsidRPr="004D4085" w:rsidRDefault="00DC0157" w:rsidP="003A6D9C">
      <w:pPr>
        <w:jc w:val="both"/>
        <w:rPr>
          <w:rFonts w:asciiTheme="majorBidi" w:hAnsiTheme="majorBidi" w:cstheme="majorBidi"/>
          <w:sz w:val="24"/>
          <w:szCs w:val="24"/>
        </w:rPr>
      </w:pPr>
      <w:r w:rsidRPr="004D4085">
        <w:rPr>
          <w:rFonts w:asciiTheme="majorBidi" w:hAnsiTheme="majorBidi" w:cstheme="majorBidi"/>
          <w:sz w:val="24"/>
          <w:szCs w:val="24"/>
        </w:rPr>
        <w:t>De manière similaire, les dimensions de la qualité de service affichent des coefficients alpha satisfaisants, attestant de la fiabilité des échelles SERVQUAL utilisées pour mesurer la perception de la qualité de service bancaire par les clients.</w:t>
      </w:r>
    </w:p>
    <w:p w14:paraId="10CC7B20" w14:textId="77777777" w:rsidR="00DC0157" w:rsidRPr="003A6D9C" w:rsidRDefault="00DC0157" w:rsidP="004D4085">
      <w:pPr>
        <w:jc w:val="both"/>
        <w:rPr>
          <w:rFonts w:asciiTheme="majorBidi" w:hAnsiTheme="majorBidi" w:cstheme="majorBidi"/>
          <w:b/>
          <w:bCs/>
          <w:sz w:val="24"/>
          <w:szCs w:val="24"/>
        </w:rPr>
      </w:pPr>
      <w:r w:rsidRPr="003A6D9C">
        <w:rPr>
          <w:rFonts w:asciiTheme="majorBidi" w:hAnsiTheme="majorBidi" w:cstheme="majorBidi"/>
          <w:b/>
          <w:bCs/>
          <w:sz w:val="24"/>
          <w:szCs w:val="24"/>
        </w:rPr>
        <w:lastRenderedPageBreak/>
        <w:t>5.2. Statistiques descriptives des pratiques de la gestion de la qualité totale (TQM)</w:t>
      </w:r>
    </w:p>
    <w:p w14:paraId="0F9C30CD"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L’analyse descriptive permet d’évaluer le niveau d’adoption des pratiques de la gestion de la qualité totale au sein des banques mauritaniennes étudiées.</w:t>
      </w:r>
    </w:p>
    <w:p w14:paraId="5CE22E52" w14:textId="439913AE" w:rsidR="001142DA" w:rsidRPr="004D4085" w:rsidRDefault="00DC0157" w:rsidP="004D4085">
      <w:pPr>
        <w:jc w:val="both"/>
        <w:rPr>
          <w:rFonts w:asciiTheme="majorBidi" w:hAnsiTheme="majorBidi" w:cstheme="majorBidi"/>
          <w:sz w:val="24"/>
          <w:szCs w:val="24"/>
          <w:rtl/>
        </w:rPr>
      </w:pPr>
      <w:r w:rsidRPr="003A6D9C">
        <w:rPr>
          <w:rFonts w:asciiTheme="majorBidi" w:hAnsiTheme="majorBidi" w:cstheme="majorBidi"/>
          <w:b/>
          <w:bCs/>
          <w:sz w:val="24"/>
          <w:szCs w:val="24"/>
        </w:rPr>
        <w:t>Tableau 3</w:t>
      </w:r>
      <w:r w:rsidRPr="004D4085">
        <w:rPr>
          <w:rFonts w:asciiTheme="majorBidi" w:hAnsiTheme="majorBidi" w:cstheme="majorBidi"/>
          <w:sz w:val="24"/>
          <w:szCs w:val="24"/>
        </w:rPr>
        <w:t xml:space="preserve"> : Statistiques descriptives des scores composites des variables du TQM</w:t>
      </w:r>
    </w:p>
    <w:tbl>
      <w:tblPr>
        <w:tblStyle w:val="Grilledutableau"/>
        <w:tblW w:w="4725" w:type="pct"/>
        <w:tblLook w:val="04A0" w:firstRow="1" w:lastRow="0" w:firstColumn="1" w:lastColumn="0" w:noHBand="0" w:noVBand="1"/>
      </w:tblPr>
      <w:tblGrid>
        <w:gridCol w:w="4250"/>
        <w:gridCol w:w="1283"/>
        <w:gridCol w:w="1428"/>
        <w:gridCol w:w="1603"/>
      </w:tblGrid>
      <w:tr w:rsidR="003A6D9C" w:rsidRPr="003A6D9C" w14:paraId="0D0BAAA6" w14:textId="77777777" w:rsidTr="003A6D9C">
        <w:trPr>
          <w:trHeight w:val="319"/>
        </w:trPr>
        <w:tc>
          <w:tcPr>
            <w:tcW w:w="2481" w:type="pct"/>
            <w:hideMark/>
          </w:tcPr>
          <w:p w14:paraId="32BC5CCA"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b/>
                <w:bCs/>
                <w:sz w:val="24"/>
                <w:szCs w:val="24"/>
                <w:lang w:val="en-US"/>
              </w:rPr>
              <w:t>Dimension</w:t>
            </w:r>
          </w:p>
        </w:tc>
        <w:tc>
          <w:tcPr>
            <w:tcW w:w="749" w:type="pct"/>
            <w:hideMark/>
          </w:tcPr>
          <w:p w14:paraId="7F407916"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b/>
                <w:bCs/>
                <w:sz w:val="24"/>
                <w:szCs w:val="24"/>
                <w:lang w:val="en-US"/>
              </w:rPr>
              <w:t>Moyenne</w:t>
            </w:r>
          </w:p>
        </w:tc>
        <w:tc>
          <w:tcPr>
            <w:tcW w:w="834" w:type="pct"/>
            <w:hideMark/>
          </w:tcPr>
          <w:p w14:paraId="67723AAC" w14:textId="77777777" w:rsidR="003A6D9C" w:rsidRPr="003A6D9C" w:rsidRDefault="003A6D9C" w:rsidP="003A6D9C">
            <w:pPr>
              <w:spacing w:after="160" w:line="259" w:lineRule="auto"/>
              <w:jc w:val="both"/>
              <w:rPr>
                <w:rFonts w:asciiTheme="majorBidi" w:hAnsiTheme="majorBidi" w:cstheme="majorBidi"/>
                <w:sz w:val="24"/>
                <w:szCs w:val="24"/>
              </w:rPr>
            </w:pPr>
            <w:proofErr w:type="spellStart"/>
            <w:r w:rsidRPr="003A6D9C">
              <w:rPr>
                <w:rFonts w:asciiTheme="majorBidi" w:hAnsiTheme="majorBidi" w:cstheme="majorBidi"/>
                <w:b/>
                <w:bCs/>
                <w:sz w:val="24"/>
                <w:szCs w:val="24"/>
                <w:lang w:val="en-US"/>
              </w:rPr>
              <w:t>Écart</w:t>
            </w:r>
            <w:proofErr w:type="spellEnd"/>
            <w:r w:rsidRPr="003A6D9C">
              <w:rPr>
                <w:rFonts w:asciiTheme="majorBidi" w:hAnsiTheme="majorBidi" w:cstheme="majorBidi"/>
                <w:b/>
                <w:bCs/>
                <w:sz w:val="24"/>
                <w:szCs w:val="24"/>
                <w:lang w:val="en-US"/>
              </w:rPr>
              <w:t>-type</w:t>
            </w:r>
          </w:p>
        </w:tc>
        <w:tc>
          <w:tcPr>
            <w:tcW w:w="936" w:type="pct"/>
            <w:hideMark/>
          </w:tcPr>
          <w:p w14:paraId="2441D817"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b/>
                <w:bCs/>
                <w:sz w:val="24"/>
                <w:szCs w:val="24"/>
                <w:lang w:val="en-US"/>
              </w:rPr>
              <w:t>Min – Max</w:t>
            </w:r>
          </w:p>
        </w:tc>
      </w:tr>
      <w:tr w:rsidR="003A6D9C" w:rsidRPr="003A6D9C" w14:paraId="311A3059" w14:textId="77777777" w:rsidTr="003A6D9C">
        <w:trPr>
          <w:trHeight w:val="301"/>
        </w:trPr>
        <w:tc>
          <w:tcPr>
            <w:tcW w:w="2481" w:type="pct"/>
            <w:hideMark/>
          </w:tcPr>
          <w:p w14:paraId="139E4FF0" w14:textId="77777777" w:rsidR="003A6D9C" w:rsidRPr="003A6D9C" w:rsidRDefault="003A6D9C" w:rsidP="003A6D9C">
            <w:pPr>
              <w:spacing w:after="160" w:line="259" w:lineRule="auto"/>
              <w:jc w:val="both"/>
              <w:rPr>
                <w:rFonts w:asciiTheme="majorBidi" w:hAnsiTheme="majorBidi" w:cstheme="majorBidi"/>
                <w:sz w:val="24"/>
                <w:szCs w:val="24"/>
              </w:rPr>
            </w:pPr>
            <w:proofErr w:type="spellStart"/>
            <w:r w:rsidRPr="003A6D9C">
              <w:rPr>
                <w:rFonts w:asciiTheme="majorBidi" w:hAnsiTheme="majorBidi" w:cstheme="majorBidi"/>
                <w:b/>
                <w:bCs/>
                <w:sz w:val="24"/>
                <w:szCs w:val="24"/>
                <w:lang w:val="en-US"/>
              </w:rPr>
              <w:t>Amélioration</w:t>
            </w:r>
            <w:proofErr w:type="spellEnd"/>
            <w:r w:rsidRPr="003A6D9C">
              <w:rPr>
                <w:rFonts w:asciiTheme="majorBidi" w:hAnsiTheme="majorBidi" w:cstheme="majorBidi"/>
                <w:b/>
                <w:bCs/>
                <w:sz w:val="24"/>
                <w:szCs w:val="24"/>
                <w:lang w:val="en-US"/>
              </w:rPr>
              <w:t xml:space="preserve"> continue</w:t>
            </w:r>
          </w:p>
        </w:tc>
        <w:tc>
          <w:tcPr>
            <w:tcW w:w="749" w:type="pct"/>
            <w:hideMark/>
          </w:tcPr>
          <w:p w14:paraId="3B6D756B"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3,996</w:t>
            </w:r>
          </w:p>
        </w:tc>
        <w:tc>
          <w:tcPr>
            <w:tcW w:w="834" w:type="pct"/>
            <w:hideMark/>
          </w:tcPr>
          <w:p w14:paraId="713E4B6E"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0,625</w:t>
            </w:r>
          </w:p>
        </w:tc>
        <w:tc>
          <w:tcPr>
            <w:tcW w:w="936" w:type="pct"/>
            <w:hideMark/>
          </w:tcPr>
          <w:p w14:paraId="7DE0B8B0"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2,25 – 5</w:t>
            </w:r>
          </w:p>
        </w:tc>
      </w:tr>
      <w:tr w:rsidR="003A6D9C" w:rsidRPr="003A6D9C" w14:paraId="7D6A076E" w14:textId="77777777" w:rsidTr="003A6D9C">
        <w:trPr>
          <w:trHeight w:val="193"/>
        </w:trPr>
        <w:tc>
          <w:tcPr>
            <w:tcW w:w="2481" w:type="pct"/>
            <w:hideMark/>
          </w:tcPr>
          <w:p w14:paraId="54BD9C46" w14:textId="77777777" w:rsidR="003A6D9C" w:rsidRPr="003A6D9C" w:rsidRDefault="003A6D9C" w:rsidP="003A6D9C">
            <w:pPr>
              <w:spacing w:after="160" w:line="259" w:lineRule="auto"/>
              <w:jc w:val="both"/>
              <w:rPr>
                <w:rFonts w:asciiTheme="majorBidi" w:hAnsiTheme="majorBidi" w:cstheme="majorBidi"/>
                <w:sz w:val="24"/>
                <w:szCs w:val="24"/>
              </w:rPr>
            </w:pPr>
            <w:proofErr w:type="spellStart"/>
            <w:r w:rsidRPr="003A6D9C">
              <w:rPr>
                <w:rFonts w:asciiTheme="majorBidi" w:hAnsiTheme="majorBidi" w:cstheme="majorBidi"/>
                <w:b/>
                <w:bCs/>
                <w:sz w:val="24"/>
                <w:szCs w:val="24"/>
                <w:lang w:val="en-US"/>
              </w:rPr>
              <w:t>Centrage</w:t>
            </w:r>
            <w:proofErr w:type="spellEnd"/>
            <w:r w:rsidRPr="003A6D9C">
              <w:rPr>
                <w:rFonts w:asciiTheme="majorBidi" w:hAnsiTheme="majorBidi" w:cstheme="majorBidi"/>
                <w:b/>
                <w:bCs/>
                <w:sz w:val="24"/>
                <w:szCs w:val="24"/>
                <w:lang w:val="en-US"/>
              </w:rPr>
              <w:t xml:space="preserve"> sur le client</w:t>
            </w:r>
          </w:p>
        </w:tc>
        <w:tc>
          <w:tcPr>
            <w:tcW w:w="749" w:type="pct"/>
            <w:hideMark/>
          </w:tcPr>
          <w:p w14:paraId="09211063"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3,861</w:t>
            </w:r>
          </w:p>
        </w:tc>
        <w:tc>
          <w:tcPr>
            <w:tcW w:w="834" w:type="pct"/>
            <w:hideMark/>
          </w:tcPr>
          <w:p w14:paraId="547E491B"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0,553</w:t>
            </w:r>
          </w:p>
        </w:tc>
        <w:tc>
          <w:tcPr>
            <w:tcW w:w="936" w:type="pct"/>
            <w:hideMark/>
          </w:tcPr>
          <w:p w14:paraId="0BC771EB"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2,75 – 5</w:t>
            </w:r>
          </w:p>
        </w:tc>
      </w:tr>
      <w:tr w:rsidR="003A6D9C" w:rsidRPr="003A6D9C" w14:paraId="32A6C1D8" w14:textId="77777777" w:rsidTr="003A6D9C">
        <w:trPr>
          <w:trHeight w:val="175"/>
        </w:trPr>
        <w:tc>
          <w:tcPr>
            <w:tcW w:w="2481" w:type="pct"/>
            <w:hideMark/>
          </w:tcPr>
          <w:p w14:paraId="67ABF69A"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b/>
                <w:bCs/>
                <w:sz w:val="24"/>
                <w:szCs w:val="24"/>
                <w:lang w:val="en-US"/>
              </w:rPr>
              <w:t xml:space="preserve">Attention </w:t>
            </w:r>
            <w:proofErr w:type="spellStart"/>
            <w:r w:rsidRPr="003A6D9C">
              <w:rPr>
                <w:rFonts w:asciiTheme="majorBidi" w:hAnsiTheme="majorBidi" w:cstheme="majorBidi"/>
                <w:b/>
                <w:bCs/>
                <w:sz w:val="24"/>
                <w:szCs w:val="24"/>
                <w:lang w:val="en-US"/>
              </w:rPr>
              <w:t>portée</w:t>
            </w:r>
            <w:proofErr w:type="spellEnd"/>
            <w:r w:rsidRPr="003A6D9C">
              <w:rPr>
                <w:rFonts w:asciiTheme="majorBidi" w:hAnsiTheme="majorBidi" w:cstheme="majorBidi"/>
                <w:b/>
                <w:bCs/>
                <w:sz w:val="24"/>
                <w:szCs w:val="24"/>
                <w:lang w:val="en-US"/>
              </w:rPr>
              <w:t xml:space="preserve"> aux </w:t>
            </w:r>
            <w:proofErr w:type="spellStart"/>
            <w:r w:rsidRPr="003A6D9C">
              <w:rPr>
                <w:rFonts w:asciiTheme="majorBidi" w:hAnsiTheme="majorBidi" w:cstheme="majorBidi"/>
                <w:b/>
                <w:bCs/>
                <w:sz w:val="24"/>
                <w:szCs w:val="24"/>
                <w:lang w:val="en-US"/>
              </w:rPr>
              <w:t>employés</w:t>
            </w:r>
            <w:proofErr w:type="spellEnd"/>
          </w:p>
        </w:tc>
        <w:tc>
          <w:tcPr>
            <w:tcW w:w="749" w:type="pct"/>
            <w:hideMark/>
          </w:tcPr>
          <w:p w14:paraId="4B2064A9"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3,764</w:t>
            </w:r>
          </w:p>
        </w:tc>
        <w:tc>
          <w:tcPr>
            <w:tcW w:w="834" w:type="pct"/>
            <w:hideMark/>
          </w:tcPr>
          <w:p w14:paraId="34C284C2"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0,635</w:t>
            </w:r>
          </w:p>
        </w:tc>
        <w:tc>
          <w:tcPr>
            <w:tcW w:w="936" w:type="pct"/>
            <w:hideMark/>
          </w:tcPr>
          <w:p w14:paraId="256BC664"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1,70 – 5</w:t>
            </w:r>
          </w:p>
        </w:tc>
      </w:tr>
      <w:tr w:rsidR="003A6D9C" w:rsidRPr="003A6D9C" w14:paraId="35A70AB7" w14:textId="77777777" w:rsidTr="003A6D9C">
        <w:trPr>
          <w:trHeight w:val="256"/>
        </w:trPr>
        <w:tc>
          <w:tcPr>
            <w:tcW w:w="2481" w:type="pct"/>
            <w:hideMark/>
          </w:tcPr>
          <w:p w14:paraId="42675B4D"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b/>
                <w:bCs/>
                <w:sz w:val="24"/>
                <w:szCs w:val="24"/>
                <w:lang w:val="en-US"/>
              </w:rPr>
              <w:t xml:space="preserve">Attention de </w:t>
            </w:r>
            <w:proofErr w:type="spellStart"/>
            <w:r w:rsidRPr="003A6D9C">
              <w:rPr>
                <w:rFonts w:asciiTheme="majorBidi" w:hAnsiTheme="majorBidi" w:cstheme="majorBidi"/>
                <w:b/>
                <w:bCs/>
                <w:sz w:val="24"/>
                <w:szCs w:val="24"/>
                <w:lang w:val="en-US"/>
              </w:rPr>
              <w:t>l’encadrement</w:t>
            </w:r>
            <w:proofErr w:type="spellEnd"/>
            <w:r w:rsidRPr="003A6D9C">
              <w:rPr>
                <w:rFonts w:asciiTheme="majorBidi" w:hAnsiTheme="majorBidi" w:cstheme="majorBidi"/>
                <w:b/>
                <w:bCs/>
                <w:sz w:val="24"/>
                <w:szCs w:val="24"/>
                <w:lang w:val="en-US"/>
              </w:rPr>
              <w:t xml:space="preserve"> supérieur</w:t>
            </w:r>
          </w:p>
        </w:tc>
        <w:tc>
          <w:tcPr>
            <w:tcW w:w="749" w:type="pct"/>
            <w:hideMark/>
          </w:tcPr>
          <w:p w14:paraId="12267F07"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3,649</w:t>
            </w:r>
          </w:p>
        </w:tc>
        <w:tc>
          <w:tcPr>
            <w:tcW w:w="834" w:type="pct"/>
            <w:hideMark/>
          </w:tcPr>
          <w:p w14:paraId="69E3F227"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0,785</w:t>
            </w:r>
          </w:p>
        </w:tc>
        <w:tc>
          <w:tcPr>
            <w:tcW w:w="936" w:type="pct"/>
            <w:hideMark/>
          </w:tcPr>
          <w:p w14:paraId="68CDAE5D"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1,60 – 5</w:t>
            </w:r>
          </w:p>
        </w:tc>
      </w:tr>
      <w:tr w:rsidR="003A6D9C" w:rsidRPr="003A6D9C" w14:paraId="668ECA5B" w14:textId="77777777" w:rsidTr="003A6D9C">
        <w:trPr>
          <w:trHeight w:val="229"/>
        </w:trPr>
        <w:tc>
          <w:tcPr>
            <w:tcW w:w="2481" w:type="pct"/>
            <w:hideMark/>
          </w:tcPr>
          <w:p w14:paraId="6452DBA8"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b/>
                <w:bCs/>
                <w:sz w:val="24"/>
                <w:szCs w:val="24"/>
              </w:rPr>
              <w:t>Introduction du concept de TQM</w:t>
            </w:r>
          </w:p>
        </w:tc>
        <w:tc>
          <w:tcPr>
            <w:tcW w:w="749" w:type="pct"/>
            <w:hideMark/>
          </w:tcPr>
          <w:p w14:paraId="59C19951"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3,997</w:t>
            </w:r>
          </w:p>
        </w:tc>
        <w:tc>
          <w:tcPr>
            <w:tcW w:w="834" w:type="pct"/>
            <w:hideMark/>
          </w:tcPr>
          <w:p w14:paraId="732397BB"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0,542</w:t>
            </w:r>
          </w:p>
        </w:tc>
        <w:tc>
          <w:tcPr>
            <w:tcW w:w="936" w:type="pct"/>
            <w:hideMark/>
          </w:tcPr>
          <w:p w14:paraId="3780E2EF"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2,83 – 5</w:t>
            </w:r>
          </w:p>
        </w:tc>
      </w:tr>
    </w:tbl>
    <w:p w14:paraId="066AA28F" w14:textId="77777777" w:rsidR="003A6D9C" w:rsidRDefault="003A6D9C" w:rsidP="004D4085">
      <w:pPr>
        <w:jc w:val="both"/>
        <w:rPr>
          <w:rFonts w:asciiTheme="majorBidi" w:hAnsiTheme="majorBidi" w:cstheme="majorBidi"/>
          <w:sz w:val="24"/>
          <w:szCs w:val="24"/>
        </w:rPr>
      </w:pPr>
    </w:p>
    <w:p w14:paraId="7608E875" w14:textId="694B3CDC"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Source : Fait par l’auteur à partir des résultats du questionnaire (SPSS).</w:t>
      </w:r>
    </w:p>
    <w:p w14:paraId="5667B97B" w14:textId="26ECE649" w:rsidR="00DC0157" w:rsidRPr="004D4085" w:rsidRDefault="00DC0157" w:rsidP="003A6D9C">
      <w:pPr>
        <w:jc w:val="both"/>
        <w:rPr>
          <w:rFonts w:asciiTheme="majorBidi" w:hAnsiTheme="majorBidi" w:cstheme="majorBidi"/>
          <w:sz w:val="24"/>
          <w:szCs w:val="24"/>
        </w:rPr>
      </w:pPr>
      <w:r w:rsidRPr="004D4085">
        <w:rPr>
          <w:rFonts w:asciiTheme="majorBidi" w:hAnsiTheme="majorBidi" w:cstheme="majorBidi"/>
          <w:sz w:val="24"/>
          <w:szCs w:val="24"/>
        </w:rPr>
        <w:t>Les résultats montrent que les scores moyens des différentes dimensions du TQM sont globalement supérieurs au seuil de référence, traduisant une adoption globalement positive des pratiques de gestion de la qualité totale. Toutefois, des disparités apparaissent entre les dimensions, suggérant une mise en œuvre partielle et hétérogène du TQM selon les banques et les pratiques considérées.</w:t>
      </w:r>
    </w:p>
    <w:p w14:paraId="64439114" w14:textId="77777777" w:rsidR="00DC0157" w:rsidRPr="003A6D9C" w:rsidRDefault="00DC0157" w:rsidP="004D4085">
      <w:pPr>
        <w:jc w:val="both"/>
        <w:rPr>
          <w:rFonts w:asciiTheme="majorBidi" w:hAnsiTheme="majorBidi" w:cstheme="majorBidi"/>
          <w:b/>
          <w:bCs/>
          <w:sz w:val="24"/>
          <w:szCs w:val="24"/>
        </w:rPr>
      </w:pPr>
      <w:r w:rsidRPr="003A6D9C">
        <w:rPr>
          <w:rFonts w:asciiTheme="majorBidi" w:hAnsiTheme="majorBidi" w:cstheme="majorBidi"/>
          <w:b/>
          <w:bCs/>
          <w:sz w:val="24"/>
          <w:szCs w:val="24"/>
        </w:rPr>
        <w:t>5.3. Vérification des hypothèses relatives à la gestion de la qualité totale</w:t>
      </w:r>
    </w:p>
    <w:p w14:paraId="0F218D9A"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Afin de tester les hypothèses liées aux pratiques du TQM, des tests t unilatéraux ont été réalisés pour examiner si les scores moyens observés diffèrent significativement du seuil de référence.</w:t>
      </w:r>
    </w:p>
    <w:p w14:paraId="27C6E361" w14:textId="3BB72D3F" w:rsidR="001142DA" w:rsidRPr="004D4085" w:rsidRDefault="00DC0157" w:rsidP="004D4085">
      <w:pPr>
        <w:jc w:val="both"/>
        <w:rPr>
          <w:rFonts w:asciiTheme="majorBidi" w:hAnsiTheme="majorBidi" w:cstheme="majorBidi"/>
          <w:sz w:val="24"/>
          <w:szCs w:val="24"/>
          <w:rtl/>
        </w:rPr>
      </w:pPr>
      <w:r w:rsidRPr="003A6D9C">
        <w:rPr>
          <w:rFonts w:asciiTheme="majorBidi" w:hAnsiTheme="majorBidi" w:cstheme="majorBidi"/>
          <w:b/>
          <w:bCs/>
          <w:sz w:val="24"/>
          <w:szCs w:val="24"/>
        </w:rPr>
        <w:t>Tableau 4</w:t>
      </w:r>
      <w:r w:rsidRPr="004D4085">
        <w:rPr>
          <w:rFonts w:asciiTheme="majorBidi" w:hAnsiTheme="majorBidi" w:cstheme="majorBidi"/>
          <w:sz w:val="24"/>
          <w:szCs w:val="24"/>
        </w:rPr>
        <w:t xml:space="preserve"> : Résultats du test t unilatéral pour les dimensions du TQM</w:t>
      </w:r>
    </w:p>
    <w:tbl>
      <w:tblPr>
        <w:tblStyle w:val="Grilledutableau"/>
        <w:tblW w:w="5130" w:type="pct"/>
        <w:tblLook w:val="04A0" w:firstRow="1" w:lastRow="0" w:firstColumn="1" w:lastColumn="0" w:noHBand="0" w:noVBand="1"/>
      </w:tblPr>
      <w:tblGrid>
        <w:gridCol w:w="3412"/>
        <w:gridCol w:w="1172"/>
        <w:gridCol w:w="757"/>
        <w:gridCol w:w="1134"/>
        <w:gridCol w:w="2823"/>
      </w:tblGrid>
      <w:tr w:rsidR="003A6D9C" w:rsidRPr="003A6D9C" w14:paraId="4DABDE24" w14:textId="77777777" w:rsidTr="003A6D9C">
        <w:trPr>
          <w:trHeight w:val="256"/>
        </w:trPr>
        <w:tc>
          <w:tcPr>
            <w:tcW w:w="1835" w:type="pct"/>
            <w:hideMark/>
          </w:tcPr>
          <w:p w14:paraId="59698535"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b/>
                <w:bCs/>
                <w:sz w:val="24"/>
                <w:szCs w:val="24"/>
                <w:lang w:val="en-US"/>
              </w:rPr>
              <w:t>Dimension</w:t>
            </w:r>
          </w:p>
        </w:tc>
        <w:tc>
          <w:tcPr>
            <w:tcW w:w="630" w:type="pct"/>
            <w:hideMark/>
          </w:tcPr>
          <w:p w14:paraId="40281A38"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b/>
                <w:bCs/>
                <w:sz w:val="24"/>
                <w:szCs w:val="24"/>
                <w:lang w:val="en-US"/>
              </w:rPr>
              <w:t>Moyenne</w:t>
            </w:r>
          </w:p>
        </w:tc>
        <w:tc>
          <w:tcPr>
            <w:tcW w:w="407" w:type="pct"/>
            <w:hideMark/>
          </w:tcPr>
          <w:p w14:paraId="5D82B99F"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b/>
                <w:bCs/>
                <w:sz w:val="24"/>
                <w:szCs w:val="24"/>
                <w:lang w:val="en-US"/>
              </w:rPr>
              <w:t>t</w:t>
            </w:r>
          </w:p>
        </w:tc>
        <w:tc>
          <w:tcPr>
            <w:tcW w:w="610" w:type="pct"/>
            <w:hideMark/>
          </w:tcPr>
          <w:p w14:paraId="7B17FC73"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b/>
                <w:bCs/>
                <w:sz w:val="24"/>
                <w:szCs w:val="24"/>
                <w:lang w:val="en-US"/>
              </w:rPr>
              <w:t>p-value</w:t>
            </w:r>
          </w:p>
        </w:tc>
        <w:tc>
          <w:tcPr>
            <w:tcW w:w="1518" w:type="pct"/>
            <w:hideMark/>
          </w:tcPr>
          <w:p w14:paraId="623CB2FF" w14:textId="01464C88" w:rsidR="003A6D9C" w:rsidRPr="003A6D9C" w:rsidRDefault="003A6D9C" w:rsidP="003A6D9C">
            <w:pPr>
              <w:spacing w:after="160" w:line="259" w:lineRule="auto"/>
              <w:jc w:val="both"/>
              <w:rPr>
                <w:rFonts w:asciiTheme="majorBidi" w:hAnsiTheme="majorBidi" w:cstheme="majorBidi"/>
                <w:sz w:val="24"/>
                <w:szCs w:val="24"/>
              </w:rPr>
            </w:pPr>
            <w:proofErr w:type="spellStart"/>
            <w:r w:rsidRPr="003A6D9C">
              <w:rPr>
                <w:rFonts w:asciiTheme="majorBidi" w:hAnsiTheme="majorBidi" w:cstheme="majorBidi"/>
                <w:b/>
                <w:bCs/>
                <w:sz w:val="24"/>
                <w:szCs w:val="24"/>
                <w:lang w:val="en-US"/>
              </w:rPr>
              <w:t>Décision</w:t>
            </w:r>
            <w:proofErr w:type="spellEnd"/>
            <w:r w:rsidRPr="003A6D9C">
              <w:rPr>
                <w:rFonts w:asciiTheme="majorBidi" w:hAnsiTheme="majorBidi" w:cstheme="majorBidi"/>
                <w:b/>
                <w:bCs/>
                <w:sz w:val="24"/>
                <w:szCs w:val="24"/>
                <w:lang w:val="en-US"/>
              </w:rPr>
              <w:t xml:space="preserve"> (H</w:t>
            </w:r>
            <w:proofErr w:type="gramStart"/>
            <w:r w:rsidRPr="003A6D9C">
              <w:rPr>
                <w:rFonts w:asciiTheme="majorBidi" w:hAnsiTheme="majorBidi" w:cstheme="majorBidi"/>
                <w:b/>
                <w:bCs/>
                <w:sz w:val="24"/>
                <w:szCs w:val="24"/>
                <w:lang w:val="en-US"/>
              </w:rPr>
              <w:t>1:μ</w:t>
            </w:r>
            <w:proofErr w:type="gramEnd"/>
            <w:r w:rsidRPr="003A6D9C">
              <w:rPr>
                <w:rFonts w:asciiTheme="majorBidi" w:hAnsiTheme="majorBidi" w:cstheme="majorBidi"/>
                <w:b/>
                <w:bCs/>
                <w:sz w:val="24"/>
                <w:szCs w:val="24"/>
                <w:lang w:val="en-US"/>
              </w:rPr>
              <w:t xml:space="preserve"> &gt;3,5)</w:t>
            </w:r>
          </w:p>
        </w:tc>
      </w:tr>
      <w:tr w:rsidR="003A6D9C" w:rsidRPr="003A6D9C" w14:paraId="3D12A7D5" w14:textId="77777777" w:rsidTr="003A6D9C">
        <w:trPr>
          <w:trHeight w:val="337"/>
        </w:trPr>
        <w:tc>
          <w:tcPr>
            <w:tcW w:w="1835" w:type="pct"/>
            <w:hideMark/>
          </w:tcPr>
          <w:p w14:paraId="5575EE6F" w14:textId="77777777" w:rsidR="003A6D9C" w:rsidRPr="003A6D9C" w:rsidRDefault="003A6D9C" w:rsidP="003A6D9C">
            <w:pPr>
              <w:spacing w:after="160" w:line="259" w:lineRule="auto"/>
              <w:jc w:val="both"/>
              <w:rPr>
                <w:rFonts w:asciiTheme="majorBidi" w:hAnsiTheme="majorBidi" w:cstheme="majorBidi"/>
                <w:sz w:val="24"/>
                <w:szCs w:val="24"/>
              </w:rPr>
            </w:pPr>
            <w:proofErr w:type="spellStart"/>
            <w:r w:rsidRPr="003A6D9C">
              <w:rPr>
                <w:rFonts w:asciiTheme="majorBidi" w:hAnsiTheme="majorBidi" w:cstheme="majorBidi"/>
                <w:b/>
                <w:bCs/>
                <w:sz w:val="24"/>
                <w:szCs w:val="24"/>
                <w:lang w:val="en-US"/>
              </w:rPr>
              <w:t>Amélioration</w:t>
            </w:r>
            <w:proofErr w:type="spellEnd"/>
            <w:r w:rsidRPr="003A6D9C">
              <w:rPr>
                <w:rFonts w:asciiTheme="majorBidi" w:hAnsiTheme="majorBidi" w:cstheme="majorBidi"/>
                <w:b/>
                <w:bCs/>
                <w:sz w:val="24"/>
                <w:szCs w:val="24"/>
                <w:lang w:val="en-US"/>
              </w:rPr>
              <w:t xml:space="preserve"> continue</w:t>
            </w:r>
          </w:p>
        </w:tc>
        <w:tc>
          <w:tcPr>
            <w:tcW w:w="630" w:type="pct"/>
            <w:hideMark/>
          </w:tcPr>
          <w:p w14:paraId="2848EC9F"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3,996</w:t>
            </w:r>
          </w:p>
        </w:tc>
        <w:tc>
          <w:tcPr>
            <w:tcW w:w="407" w:type="pct"/>
            <w:hideMark/>
          </w:tcPr>
          <w:p w14:paraId="10AA5081"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6,197</w:t>
            </w:r>
          </w:p>
        </w:tc>
        <w:tc>
          <w:tcPr>
            <w:tcW w:w="610" w:type="pct"/>
            <w:hideMark/>
          </w:tcPr>
          <w:p w14:paraId="70DF15F0"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&lt; 0,001</w:t>
            </w:r>
          </w:p>
        </w:tc>
        <w:tc>
          <w:tcPr>
            <w:tcW w:w="1518" w:type="pct"/>
            <w:hideMark/>
          </w:tcPr>
          <w:p w14:paraId="3959976B" w14:textId="77777777" w:rsidR="003A6D9C" w:rsidRPr="003A6D9C" w:rsidRDefault="003A6D9C" w:rsidP="003A6D9C">
            <w:pPr>
              <w:spacing w:after="160" w:line="259" w:lineRule="auto"/>
              <w:jc w:val="both"/>
              <w:rPr>
                <w:rFonts w:asciiTheme="majorBidi" w:hAnsiTheme="majorBidi" w:cstheme="majorBidi"/>
                <w:sz w:val="24"/>
                <w:szCs w:val="24"/>
              </w:rPr>
            </w:pPr>
            <w:proofErr w:type="spellStart"/>
            <w:r w:rsidRPr="003A6D9C">
              <w:rPr>
                <w:rFonts w:asciiTheme="majorBidi" w:hAnsiTheme="majorBidi" w:cstheme="majorBidi"/>
                <w:sz w:val="24"/>
                <w:szCs w:val="24"/>
                <w:lang w:val="en-US"/>
              </w:rPr>
              <w:t>Acceptée</w:t>
            </w:r>
            <w:proofErr w:type="spellEnd"/>
          </w:p>
        </w:tc>
      </w:tr>
      <w:tr w:rsidR="003A6D9C" w:rsidRPr="003A6D9C" w14:paraId="10AE41EC" w14:textId="77777777" w:rsidTr="003A6D9C">
        <w:trPr>
          <w:trHeight w:val="220"/>
        </w:trPr>
        <w:tc>
          <w:tcPr>
            <w:tcW w:w="1835" w:type="pct"/>
            <w:hideMark/>
          </w:tcPr>
          <w:p w14:paraId="0FBD668E" w14:textId="77777777" w:rsidR="003A6D9C" w:rsidRPr="003A6D9C" w:rsidRDefault="003A6D9C" w:rsidP="003A6D9C">
            <w:pPr>
              <w:spacing w:after="160" w:line="259" w:lineRule="auto"/>
              <w:jc w:val="both"/>
              <w:rPr>
                <w:rFonts w:asciiTheme="majorBidi" w:hAnsiTheme="majorBidi" w:cstheme="majorBidi"/>
                <w:sz w:val="24"/>
                <w:szCs w:val="24"/>
              </w:rPr>
            </w:pPr>
            <w:proofErr w:type="spellStart"/>
            <w:r w:rsidRPr="003A6D9C">
              <w:rPr>
                <w:rFonts w:asciiTheme="majorBidi" w:hAnsiTheme="majorBidi" w:cstheme="majorBidi"/>
                <w:b/>
                <w:bCs/>
                <w:sz w:val="24"/>
                <w:szCs w:val="24"/>
                <w:lang w:val="en-US"/>
              </w:rPr>
              <w:t>Centrage</w:t>
            </w:r>
            <w:proofErr w:type="spellEnd"/>
            <w:r w:rsidRPr="003A6D9C">
              <w:rPr>
                <w:rFonts w:asciiTheme="majorBidi" w:hAnsiTheme="majorBidi" w:cstheme="majorBidi"/>
                <w:b/>
                <w:bCs/>
                <w:sz w:val="24"/>
                <w:szCs w:val="24"/>
                <w:lang w:val="en-US"/>
              </w:rPr>
              <w:t xml:space="preserve"> sur le client</w:t>
            </w:r>
          </w:p>
        </w:tc>
        <w:tc>
          <w:tcPr>
            <w:tcW w:w="630" w:type="pct"/>
            <w:hideMark/>
          </w:tcPr>
          <w:p w14:paraId="701416B2"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3,861</w:t>
            </w:r>
          </w:p>
        </w:tc>
        <w:tc>
          <w:tcPr>
            <w:tcW w:w="407" w:type="pct"/>
            <w:hideMark/>
          </w:tcPr>
          <w:p w14:paraId="4DB7A4F2"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5,098</w:t>
            </w:r>
          </w:p>
        </w:tc>
        <w:tc>
          <w:tcPr>
            <w:tcW w:w="610" w:type="pct"/>
            <w:hideMark/>
          </w:tcPr>
          <w:p w14:paraId="193FC28A"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&lt; 0,001</w:t>
            </w:r>
          </w:p>
        </w:tc>
        <w:tc>
          <w:tcPr>
            <w:tcW w:w="1518" w:type="pct"/>
            <w:hideMark/>
          </w:tcPr>
          <w:p w14:paraId="3E16EDD1" w14:textId="77777777" w:rsidR="003A6D9C" w:rsidRPr="003A6D9C" w:rsidRDefault="003A6D9C" w:rsidP="003A6D9C">
            <w:pPr>
              <w:spacing w:after="160" w:line="259" w:lineRule="auto"/>
              <w:jc w:val="both"/>
              <w:rPr>
                <w:rFonts w:asciiTheme="majorBidi" w:hAnsiTheme="majorBidi" w:cstheme="majorBidi"/>
                <w:sz w:val="24"/>
                <w:szCs w:val="24"/>
              </w:rPr>
            </w:pPr>
            <w:proofErr w:type="spellStart"/>
            <w:r w:rsidRPr="003A6D9C">
              <w:rPr>
                <w:rFonts w:asciiTheme="majorBidi" w:hAnsiTheme="majorBidi" w:cstheme="majorBidi"/>
                <w:sz w:val="24"/>
                <w:szCs w:val="24"/>
                <w:lang w:val="en-US"/>
              </w:rPr>
              <w:t>Acceptée</w:t>
            </w:r>
            <w:proofErr w:type="spellEnd"/>
          </w:p>
        </w:tc>
      </w:tr>
      <w:tr w:rsidR="003A6D9C" w:rsidRPr="003A6D9C" w14:paraId="09767985" w14:textId="77777777" w:rsidTr="003A6D9C">
        <w:trPr>
          <w:trHeight w:val="202"/>
        </w:trPr>
        <w:tc>
          <w:tcPr>
            <w:tcW w:w="1835" w:type="pct"/>
            <w:hideMark/>
          </w:tcPr>
          <w:p w14:paraId="0823A9CB"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b/>
                <w:bCs/>
                <w:sz w:val="24"/>
                <w:szCs w:val="24"/>
                <w:lang w:val="en-US"/>
              </w:rPr>
              <w:t xml:space="preserve">Attention </w:t>
            </w:r>
            <w:proofErr w:type="spellStart"/>
            <w:r w:rsidRPr="003A6D9C">
              <w:rPr>
                <w:rFonts w:asciiTheme="majorBidi" w:hAnsiTheme="majorBidi" w:cstheme="majorBidi"/>
                <w:b/>
                <w:bCs/>
                <w:sz w:val="24"/>
                <w:szCs w:val="24"/>
                <w:lang w:val="en-US"/>
              </w:rPr>
              <w:t>portée</w:t>
            </w:r>
            <w:proofErr w:type="spellEnd"/>
            <w:r w:rsidRPr="003A6D9C">
              <w:rPr>
                <w:rFonts w:asciiTheme="majorBidi" w:hAnsiTheme="majorBidi" w:cstheme="majorBidi"/>
                <w:b/>
                <w:bCs/>
                <w:sz w:val="24"/>
                <w:szCs w:val="24"/>
                <w:lang w:val="en-US"/>
              </w:rPr>
              <w:t xml:space="preserve"> aux </w:t>
            </w:r>
            <w:proofErr w:type="spellStart"/>
            <w:r w:rsidRPr="003A6D9C">
              <w:rPr>
                <w:rFonts w:asciiTheme="majorBidi" w:hAnsiTheme="majorBidi" w:cstheme="majorBidi"/>
                <w:b/>
                <w:bCs/>
                <w:sz w:val="24"/>
                <w:szCs w:val="24"/>
                <w:lang w:val="en-US"/>
              </w:rPr>
              <w:t>employés</w:t>
            </w:r>
            <w:proofErr w:type="spellEnd"/>
          </w:p>
        </w:tc>
        <w:tc>
          <w:tcPr>
            <w:tcW w:w="630" w:type="pct"/>
            <w:hideMark/>
          </w:tcPr>
          <w:p w14:paraId="5B3586EB"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3,764</w:t>
            </w:r>
          </w:p>
        </w:tc>
        <w:tc>
          <w:tcPr>
            <w:tcW w:w="407" w:type="pct"/>
            <w:hideMark/>
          </w:tcPr>
          <w:p w14:paraId="2F85CBB9"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3,248</w:t>
            </w:r>
          </w:p>
        </w:tc>
        <w:tc>
          <w:tcPr>
            <w:tcW w:w="610" w:type="pct"/>
            <w:hideMark/>
          </w:tcPr>
          <w:p w14:paraId="3AE556B1"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0,020</w:t>
            </w:r>
          </w:p>
        </w:tc>
        <w:tc>
          <w:tcPr>
            <w:tcW w:w="1518" w:type="pct"/>
            <w:hideMark/>
          </w:tcPr>
          <w:p w14:paraId="0B3BA004" w14:textId="77777777" w:rsidR="003A6D9C" w:rsidRPr="003A6D9C" w:rsidRDefault="003A6D9C" w:rsidP="003A6D9C">
            <w:pPr>
              <w:spacing w:after="160" w:line="259" w:lineRule="auto"/>
              <w:jc w:val="both"/>
              <w:rPr>
                <w:rFonts w:asciiTheme="majorBidi" w:hAnsiTheme="majorBidi" w:cstheme="majorBidi"/>
                <w:sz w:val="24"/>
                <w:szCs w:val="24"/>
              </w:rPr>
            </w:pPr>
            <w:proofErr w:type="spellStart"/>
            <w:r w:rsidRPr="003A6D9C">
              <w:rPr>
                <w:rFonts w:asciiTheme="majorBidi" w:hAnsiTheme="majorBidi" w:cstheme="majorBidi"/>
                <w:sz w:val="24"/>
                <w:szCs w:val="24"/>
                <w:lang w:val="en-US"/>
              </w:rPr>
              <w:t>Acceptée</w:t>
            </w:r>
            <w:proofErr w:type="spellEnd"/>
          </w:p>
        </w:tc>
      </w:tr>
      <w:tr w:rsidR="003A6D9C" w:rsidRPr="003A6D9C" w14:paraId="5629256F" w14:textId="77777777" w:rsidTr="003A6D9C">
        <w:trPr>
          <w:trHeight w:val="373"/>
        </w:trPr>
        <w:tc>
          <w:tcPr>
            <w:tcW w:w="1835" w:type="pct"/>
            <w:hideMark/>
          </w:tcPr>
          <w:p w14:paraId="2120A269"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b/>
                <w:bCs/>
                <w:sz w:val="24"/>
                <w:szCs w:val="24"/>
                <w:lang w:val="en-US"/>
              </w:rPr>
              <w:t xml:space="preserve">Attention de </w:t>
            </w:r>
            <w:proofErr w:type="spellStart"/>
            <w:r w:rsidRPr="003A6D9C">
              <w:rPr>
                <w:rFonts w:asciiTheme="majorBidi" w:hAnsiTheme="majorBidi" w:cstheme="majorBidi"/>
                <w:b/>
                <w:bCs/>
                <w:sz w:val="24"/>
                <w:szCs w:val="24"/>
                <w:lang w:val="en-US"/>
              </w:rPr>
              <w:t>l’encadrement</w:t>
            </w:r>
            <w:proofErr w:type="spellEnd"/>
            <w:r w:rsidRPr="003A6D9C">
              <w:rPr>
                <w:rFonts w:asciiTheme="majorBidi" w:hAnsiTheme="majorBidi" w:cstheme="majorBidi"/>
                <w:b/>
                <w:bCs/>
                <w:sz w:val="24"/>
                <w:szCs w:val="24"/>
                <w:lang w:val="en-US"/>
              </w:rPr>
              <w:t xml:space="preserve"> supérieur</w:t>
            </w:r>
          </w:p>
        </w:tc>
        <w:tc>
          <w:tcPr>
            <w:tcW w:w="630" w:type="pct"/>
            <w:hideMark/>
          </w:tcPr>
          <w:p w14:paraId="7C03475E"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3,649</w:t>
            </w:r>
          </w:p>
        </w:tc>
        <w:tc>
          <w:tcPr>
            <w:tcW w:w="407" w:type="pct"/>
            <w:hideMark/>
          </w:tcPr>
          <w:p w14:paraId="24D5EE51"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1,483</w:t>
            </w:r>
          </w:p>
        </w:tc>
        <w:tc>
          <w:tcPr>
            <w:tcW w:w="610" w:type="pct"/>
            <w:hideMark/>
          </w:tcPr>
          <w:p w14:paraId="3E2454FF"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0,016</w:t>
            </w:r>
          </w:p>
        </w:tc>
        <w:tc>
          <w:tcPr>
            <w:tcW w:w="1518" w:type="pct"/>
            <w:hideMark/>
          </w:tcPr>
          <w:p w14:paraId="12DD7DA0" w14:textId="77777777" w:rsidR="003A6D9C" w:rsidRPr="003A6D9C" w:rsidRDefault="003A6D9C" w:rsidP="003A6D9C">
            <w:pPr>
              <w:spacing w:after="160" w:line="259" w:lineRule="auto"/>
              <w:jc w:val="both"/>
              <w:rPr>
                <w:rFonts w:asciiTheme="majorBidi" w:hAnsiTheme="majorBidi" w:cstheme="majorBidi"/>
                <w:sz w:val="24"/>
                <w:szCs w:val="24"/>
              </w:rPr>
            </w:pPr>
            <w:proofErr w:type="spellStart"/>
            <w:r w:rsidRPr="003A6D9C">
              <w:rPr>
                <w:rFonts w:asciiTheme="majorBidi" w:hAnsiTheme="majorBidi" w:cstheme="majorBidi"/>
                <w:sz w:val="24"/>
                <w:szCs w:val="24"/>
                <w:lang w:val="en-US"/>
              </w:rPr>
              <w:t>Acceptée</w:t>
            </w:r>
            <w:proofErr w:type="spellEnd"/>
          </w:p>
        </w:tc>
      </w:tr>
      <w:tr w:rsidR="003A6D9C" w:rsidRPr="003A6D9C" w14:paraId="7CCECFA5" w14:textId="77777777" w:rsidTr="003A6D9C">
        <w:trPr>
          <w:trHeight w:val="229"/>
        </w:trPr>
        <w:tc>
          <w:tcPr>
            <w:tcW w:w="1835" w:type="pct"/>
            <w:hideMark/>
          </w:tcPr>
          <w:p w14:paraId="038E0A04"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b/>
                <w:bCs/>
                <w:sz w:val="24"/>
                <w:szCs w:val="24"/>
              </w:rPr>
              <w:t>Introduction du concept de TQM</w:t>
            </w:r>
          </w:p>
        </w:tc>
        <w:tc>
          <w:tcPr>
            <w:tcW w:w="630" w:type="pct"/>
            <w:hideMark/>
          </w:tcPr>
          <w:p w14:paraId="7B22E423"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3,997</w:t>
            </w:r>
          </w:p>
        </w:tc>
        <w:tc>
          <w:tcPr>
            <w:tcW w:w="407" w:type="pct"/>
            <w:hideMark/>
          </w:tcPr>
          <w:p w14:paraId="049704C2"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7,163</w:t>
            </w:r>
          </w:p>
        </w:tc>
        <w:tc>
          <w:tcPr>
            <w:tcW w:w="610" w:type="pct"/>
            <w:hideMark/>
          </w:tcPr>
          <w:p w14:paraId="309E4BA3" w14:textId="77777777" w:rsidR="003A6D9C" w:rsidRPr="003A6D9C" w:rsidRDefault="003A6D9C" w:rsidP="003A6D9C">
            <w:pPr>
              <w:spacing w:after="160" w:line="259" w:lineRule="auto"/>
              <w:jc w:val="both"/>
              <w:rPr>
                <w:rFonts w:asciiTheme="majorBidi" w:hAnsiTheme="majorBidi" w:cstheme="majorBidi"/>
                <w:sz w:val="24"/>
                <w:szCs w:val="24"/>
              </w:rPr>
            </w:pPr>
            <w:r w:rsidRPr="003A6D9C">
              <w:rPr>
                <w:rFonts w:asciiTheme="majorBidi" w:hAnsiTheme="majorBidi" w:cstheme="majorBidi"/>
                <w:sz w:val="24"/>
                <w:szCs w:val="24"/>
                <w:lang w:val="en-US"/>
              </w:rPr>
              <w:t>&lt; 0,001</w:t>
            </w:r>
          </w:p>
        </w:tc>
        <w:tc>
          <w:tcPr>
            <w:tcW w:w="1518" w:type="pct"/>
            <w:hideMark/>
          </w:tcPr>
          <w:p w14:paraId="43C878CB" w14:textId="77777777" w:rsidR="003A6D9C" w:rsidRPr="003A6D9C" w:rsidRDefault="003A6D9C" w:rsidP="003A6D9C">
            <w:pPr>
              <w:spacing w:after="160" w:line="259" w:lineRule="auto"/>
              <w:jc w:val="both"/>
              <w:rPr>
                <w:rFonts w:asciiTheme="majorBidi" w:hAnsiTheme="majorBidi" w:cstheme="majorBidi"/>
                <w:sz w:val="24"/>
                <w:szCs w:val="24"/>
              </w:rPr>
            </w:pPr>
            <w:proofErr w:type="spellStart"/>
            <w:r w:rsidRPr="003A6D9C">
              <w:rPr>
                <w:rFonts w:asciiTheme="majorBidi" w:hAnsiTheme="majorBidi" w:cstheme="majorBidi"/>
                <w:sz w:val="24"/>
                <w:szCs w:val="24"/>
                <w:lang w:val="en-US"/>
              </w:rPr>
              <w:t>Acceptée</w:t>
            </w:r>
            <w:proofErr w:type="spellEnd"/>
          </w:p>
        </w:tc>
      </w:tr>
    </w:tbl>
    <w:p w14:paraId="1541FE8D" w14:textId="3E6A614A"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Source : Élaboration de l’auteur à partir des résultats empiriques de l’étude (SPSS).</w:t>
      </w:r>
    </w:p>
    <w:p w14:paraId="1FCF2424"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 xml:space="preserve">Les résultats des tests indiquent que les dimensions liées à l’orientation vers les employés, à l’engagement du personnel, à la formation aux principes du TQM et au leadership de la </w:t>
      </w:r>
      <w:r w:rsidRPr="004D4085">
        <w:rPr>
          <w:rFonts w:asciiTheme="majorBidi" w:hAnsiTheme="majorBidi" w:cstheme="majorBidi"/>
          <w:sz w:val="24"/>
          <w:szCs w:val="24"/>
        </w:rPr>
        <w:lastRenderedPageBreak/>
        <w:t>direction générale présentent des différences statistiquement significatives. Ces résultats confirment les hypothèses H1, H2 et H3, mettant en évidence l’effet positif des pratiques de TQM sur la performance organisationnelle des banques.</w:t>
      </w:r>
    </w:p>
    <w:p w14:paraId="68AA4667" w14:textId="22699F1F" w:rsidR="00DC0157" w:rsidRPr="004D4085" w:rsidRDefault="00DC0157" w:rsidP="004D4085">
      <w:pPr>
        <w:jc w:val="both"/>
        <w:rPr>
          <w:rFonts w:asciiTheme="majorBidi" w:hAnsiTheme="majorBidi" w:cstheme="majorBidi"/>
          <w:sz w:val="24"/>
          <w:szCs w:val="24"/>
        </w:rPr>
      </w:pPr>
    </w:p>
    <w:p w14:paraId="675BC8A3" w14:textId="77777777" w:rsidR="00DC0157" w:rsidRPr="003A6D9C" w:rsidRDefault="00DC0157" w:rsidP="004D4085">
      <w:pPr>
        <w:jc w:val="both"/>
        <w:rPr>
          <w:rFonts w:asciiTheme="majorBidi" w:hAnsiTheme="majorBidi" w:cstheme="majorBidi"/>
          <w:b/>
          <w:bCs/>
          <w:sz w:val="24"/>
          <w:szCs w:val="24"/>
        </w:rPr>
      </w:pPr>
      <w:r w:rsidRPr="003A6D9C">
        <w:rPr>
          <w:rFonts w:asciiTheme="majorBidi" w:hAnsiTheme="majorBidi" w:cstheme="majorBidi"/>
          <w:b/>
          <w:bCs/>
          <w:sz w:val="24"/>
          <w:szCs w:val="24"/>
        </w:rPr>
        <w:t>5.4. Statistiques descriptives de la qualité de service</w:t>
      </w:r>
    </w:p>
    <w:p w14:paraId="472D12A5"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L’évaluation de la qualité de service bancaire a été réalisée à partir des scores composites des dimensions SERVQUAL.</w:t>
      </w:r>
    </w:p>
    <w:p w14:paraId="6CF270F5" w14:textId="5DDB75B8" w:rsidR="001142DA" w:rsidRPr="004D4085" w:rsidRDefault="00DC0157" w:rsidP="004D4085">
      <w:pPr>
        <w:jc w:val="both"/>
        <w:rPr>
          <w:rFonts w:asciiTheme="majorBidi" w:hAnsiTheme="majorBidi" w:cstheme="majorBidi"/>
          <w:sz w:val="24"/>
          <w:szCs w:val="24"/>
          <w:rtl/>
        </w:rPr>
      </w:pPr>
      <w:r w:rsidRPr="003A6D9C">
        <w:rPr>
          <w:rFonts w:asciiTheme="majorBidi" w:hAnsiTheme="majorBidi" w:cstheme="majorBidi"/>
          <w:b/>
          <w:bCs/>
          <w:sz w:val="24"/>
          <w:szCs w:val="24"/>
        </w:rPr>
        <w:t xml:space="preserve">Tableau 5 </w:t>
      </w:r>
      <w:r w:rsidRPr="004D4085">
        <w:rPr>
          <w:rFonts w:asciiTheme="majorBidi" w:hAnsiTheme="majorBidi" w:cstheme="majorBidi"/>
          <w:sz w:val="24"/>
          <w:szCs w:val="24"/>
        </w:rPr>
        <w:t>: Statistiques descriptives des scores composites des dimensions de la qualité de service</w:t>
      </w:r>
    </w:p>
    <w:tbl>
      <w:tblPr>
        <w:tblStyle w:val="Grilledutableau"/>
        <w:tblW w:w="5000" w:type="pct"/>
        <w:tblLook w:val="04A0" w:firstRow="1" w:lastRow="0" w:firstColumn="1" w:lastColumn="0" w:noHBand="0" w:noVBand="1"/>
      </w:tblPr>
      <w:tblGrid>
        <w:gridCol w:w="3096"/>
        <w:gridCol w:w="1617"/>
        <w:gridCol w:w="1803"/>
        <w:gridCol w:w="2546"/>
      </w:tblGrid>
      <w:tr w:rsidR="00B83B13" w:rsidRPr="00B83B13" w14:paraId="4F2BE0CC" w14:textId="77777777" w:rsidTr="00B83B13">
        <w:trPr>
          <w:trHeight w:val="319"/>
        </w:trPr>
        <w:tc>
          <w:tcPr>
            <w:tcW w:w="1708" w:type="pct"/>
            <w:hideMark/>
          </w:tcPr>
          <w:p w14:paraId="0B7109C1" w14:textId="77777777" w:rsidR="00B83B13" w:rsidRPr="00B83B13" w:rsidRDefault="00B83B13" w:rsidP="00B83B13">
            <w:pPr>
              <w:spacing w:after="160" w:line="259" w:lineRule="auto"/>
              <w:jc w:val="both"/>
              <w:rPr>
                <w:rFonts w:asciiTheme="majorBidi" w:hAnsiTheme="majorBidi" w:cstheme="majorBidi"/>
                <w:sz w:val="24"/>
                <w:szCs w:val="24"/>
              </w:rPr>
            </w:pPr>
            <w:r w:rsidRPr="00B83B13">
              <w:rPr>
                <w:rFonts w:asciiTheme="majorBidi" w:hAnsiTheme="majorBidi" w:cstheme="majorBidi"/>
                <w:b/>
                <w:bCs/>
                <w:sz w:val="24"/>
                <w:szCs w:val="24"/>
                <w:lang w:val="en-US"/>
              </w:rPr>
              <w:t>Dimension</w:t>
            </w:r>
          </w:p>
        </w:tc>
        <w:tc>
          <w:tcPr>
            <w:tcW w:w="892" w:type="pct"/>
            <w:hideMark/>
          </w:tcPr>
          <w:p w14:paraId="0A8FDB14" w14:textId="77777777" w:rsidR="00B83B13" w:rsidRPr="00B83B13" w:rsidRDefault="00B83B13" w:rsidP="00B83B13">
            <w:pPr>
              <w:spacing w:after="160" w:line="259" w:lineRule="auto"/>
              <w:jc w:val="both"/>
              <w:rPr>
                <w:rFonts w:asciiTheme="majorBidi" w:hAnsiTheme="majorBidi" w:cstheme="majorBidi"/>
                <w:sz w:val="24"/>
                <w:szCs w:val="24"/>
              </w:rPr>
            </w:pPr>
            <w:r w:rsidRPr="00B83B13">
              <w:rPr>
                <w:rFonts w:asciiTheme="majorBidi" w:hAnsiTheme="majorBidi" w:cstheme="majorBidi"/>
                <w:b/>
                <w:bCs/>
                <w:sz w:val="24"/>
                <w:szCs w:val="24"/>
                <w:lang w:val="en-US"/>
              </w:rPr>
              <w:t>Moyenne</w:t>
            </w:r>
          </w:p>
        </w:tc>
        <w:tc>
          <w:tcPr>
            <w:tcW w:w="995" w:type="pct"/>
            <w:hideMark/>
          </w:tcPr>
          <w:p w14:paraId="4BD436F4" w14:textId="77777777" w:rsidR="00B83B13" w:rsidRPr="00B83B13" w:rsidRDefault="00B83B13" w:rsidP="00B83B13">
            <w:pPr>
              <w:spacing w:after="160" w:line="259" w:lineRule="auto"/>
              <w:jc w:val="both"/>
              <w:rPr>
                <w:rFonts w:asciiTheme="majorBidi" w:hAnsiTheme="majorBidi" w:cstheme="majorBidi"/>
                <w:sz w:val="24"/>
                <w:szCs w:val="24"/>
              </w:rPr>
            </w:pPr>
            <w:proofErr w:type="spellStart"/>
            <w:r w:rsidRPr="00B83B13">
              <w:rPr>
                <w:rFonts w:asciiTheme="majorBidi" w:hAnsiTheme="majorBidi" w:cstheme="majorBidi"/>
                <w:b/>
                <w:bCs/>
                <w:sz w:val="24"/>
                <w:szCs w:val="24"/>
                <w:lang w:val="en-US"/>
              </w:rPr>
              <w:t>Écart</w:t>
            </w:r>
            <w:proofErr w:type="spellEnd"/>
            <w:r w:rsidRPr="00B83B13">
              <w:rPr>
                <w:rFonts w:asciiTheme="majorBidi" w:hAnsiTheme="majorBidi" w:cstheme="majorBidi"/>
                <w:b/>
                <w:bCs/>
                <w:sz w:val="24"/>
                <w:szCs w:val="24"/>
                <w:lang w:val="en-US"/>
              </w:rPr>
              <w:t>-type</w:t>
            </w:r>
          </w:p>
        </w:tc>
        <w:tc>
          <w:tcPr>
            <w:tcW w:w="1406" w:type="pct"/>
            <w:hideMark/>
          </w:tcPr>
          <w:p w14:paraId="274CFA52" w14:textId="77777777" w:rsidR="00B83B13" w:rsidRPr="00B83B13" w:rsidRDefault="00B83B13" w:rsidP="00B83B13">
            <w:pPr>
              <w:spacing w:after="160" w:line="259" w:lineRule="auto"/>
              <w:jc w:val="both"/>
              <w:rPr>
                <w:rFonts w:asciiTheme="majorBidi" w:hAnsiTheme="majorBidi" w:cstheme="majorBidi"/>
                <w:sz w:val="24"/>
                <w:szCs w:val="24"/>
              </w:rPr>
            </w:pPr>
            <w:r w:rsidRPr="00B83B13">
              <w:rPr>
                <w:rFonts w:asciiTheme="majorBidi" w:hAnsiTheme="majorBidi" w:cstheme="majorBidi"/>
                <w:b/>
                <w:bCs/>
                <w:sz w:val="24"/>
                <w:szCs w:val="24"/>
                <w:lang w:val="en-US"/>
              </w:rPr>
              <w:t>Min – Max</w:t>
            </w:r>
          </w:p>
        </w:tc>
      </w:tr>
      <w:tr w:rsidR="00B83B13" w:rsidRPr="00B83B13" w14:paraId="26D1EF11" w14:textId="77777777" w:rsidTr="00B83B13">
        <w:trPr>
          <w:trHeight w:val="130"/>
        </w:trPr>
        <w:tc>
          <w:tcPr>
            <w:tcW w:w="1708" w:type="pct"/>
            <w:hideMark/>
          </w:tcPr>
          <w:p w14:paraId="615BD71C" w14:textId="77777777" w:rsidR="00B83B13" w:rsidRPr="00B83B13" w:rsidRDefault="00B83B13" w:rsidP="00B83B13">
            <w:pPr>
              <w:spacing w:after="160" w:line="259" w:lineRule="auto"/>
              <w:jc w:val="both"/>
              <w:rPr>
                <w:rFonts w:asciiTheme="majorBidi" w:hAnsiTheme="majorBidi" w:cstheme="majorBidi"/>
                <w:sz w:val="24"/>
                <w:szCs w:val="24"/>
              </w:rPr>
            </w:pPr>
            <w:r w:rsidRPr="00B83B13">
              <w:rPr>
                <w:rFonts w:asciiTheme="majorBidi" w:hAnsiTheme="majorBidi" w:cstheme="majorBidi"/>
                <w:b/>
                <w:bCs/>
                <w:sz w:val="24"/>
                <w:szCs w:val="24"/>
                <w:lang w:val="en-US"/>
              </w:rPr>
              <w:t>Assurance</w:t>
            </w:r>
          </w:p>
        </w:tc>
        <w:tc>
          <w:tcPr>
            <w:tcW w:w="892" w:type="pct"/>
            <w:hideMark/>
          </w:tcPr>
          <w:p w14:paraId="1B5847AF" w14:textId="77777777" w:rsidR="00B83B13" w:rsidRPr="00B83B13" w:rsidRDefault="00B83B13" w:rsidP="00B83B13">
            <w:pPr>
              <w:spacing w:after="160" w:line="259" w:lineRule="auto"/>
              <w:jc w:val="both"/>
              <w:rPr>
                <w:rFonts w:asciiTheme="majorBidi" w:hAnsiTheme="majorBidi" w:cstheme="majorBidi"/>
                <w:sz w:val="24"/>
                <w:szCs w:val="24"/>
              </w:rPr>
            </w:pPr>
            <w:r w:rsidRPr="00B83B13">
              <w:rPr>
                <w:rFonts w:asciiTheme="majorBidi" w:hAnsiTheme="majorBidi" w:cstheme="majorBidi"/>
                <w:sz w:val="24"/>
                <w:szCs w:val="24"/>
                <w:lang w:val="en-US"/>
              </w:rPr>
              <w:t>3,766</w:t>
            </w:r>
          </w:p>
        </w:tc>
        <w:tc>
          <w:tcPr>
            <w:tcW w:w="995" w:type="pct"/>
            <w:hideMark/>
          </w:tcPr>
          <w:p w14:paraId="24C2B761" w14:textId="77777777" w:rsidR="00B83B13" w:rsidRPr="00B83B13" w:rsidRDefault="00B83B13" w:rsidP="00B83B13">
            <w:pPr>
              <w:spacing w:after="160" w:line="259" w:lineRule="auto"/>
              <w:jc w:val="both"/>
              <w:rPr>
                <w:rFonts w:asciiTheme="majorBidi" w:hAnsiTheme="majorBidi" w:cstheme="majorBidi"/>
                <w:sz w:val="24"/>
                <w:szCs w:val="24"/>
              </w:rPr>
            </w:pPr>
            <w:r w:rsidRPr="00B83B13">
              <w:rPr>
                <w:rFonts w:asciiTheme="majorBidi" w:hAnsiTheme="majorBidi" w:cstheme="majorBidi"/>
                <w:sz w:val="24"/>
                <w:szCs w:val="24"/>
                <w:lang w:val="en-US"/>
              </w:rPr>
              <w:t>0,780</w:t>
            </w:r>
          </w:p>
        </w:tc>
        <w:tc>
          <w:tcPr>
            <w:tcW w:w="1406" w:type="pct"/>
            <w:hideMark/>
          </w:tcPr>
          <w:p w14:paraId="5D01BD8F" w14:textId="77777777" w:rsidR="00B83B13" w:rsidRPr="00B83B13" w:rsidRDefault="00B83B13" w:rsidP="00B83B13">
            <w:pPr>
              <w:spacing w:after="160" w:line="259" w:lineRule="auto"/>
              <w:jc w:val="both"/>
              <w:rPr>
                <w:rFonts w:asciiTheme="majorBidi" w:hAnsiTheme="majorBidi" w:cstheme="majorBidi"/>
                <w:sz w:val="24"/>
                <w:szCs w:val="24"/>
              </w:rPr>
            </w:pPr>
            <w:r w:rsidRPr="00B83B13">
              <w:rPr>
                <w:rFonts w:asciiTheme="majorBidi" w:hAnsiTheme="majorBidi" w:cstheme="majorBidi"/>
                <w:sz w:val="24"/>
                <w:szCs w:val="24"/>
                <w:lang w:val="en-US"/>
              </w:rPr>
              <w:t>2,00 – 5,00</w:t>
            </w:r>
          </w:p>
        </w:tc>
      </w:tr>
      <w:tr w:rsidR="00B83B13" w:rsidRPr="00B83B13" w14:paraId="6CAB1508" w14:textId="77777777" w:rsidTr="00B83B13">
        <w:trPr>
          <w:trHeight w:val="40"/>
        </w:trPr>
        <w:tc>
          <w:tcPr>
            <w:tcW w:w="1708" w:type="pct"/>
            <w:hideMark/>
          </w:tcPr>
          <w:p w14:paraId="5ECD2A07" w14:textId="77777777" w:rsidR="00B83B13" w:rsidRPr="00B83B13" w:rsidRDefault="00B83B13" w:rsidP="00B83B13">
            <w:pPr>
              <w:spacing w:after="160" w:line="259" w:lineRule="auto"/>
              <w:jc w:val="both"/>
              <w:rPr>
                <w:rFonts w:asciiTheme="majorBidi" w:hAnsiTheme="majorBidi" w:cstheme="majorBidi"/>
                <w:sz w:val="24"/>
                <w:szCs w:val="24"/>
              </w:rPr>
            </w:pPr>
            <w:proofErr w:type="spellStart"/>
            <w:r w:rsidRPr="00B83B13">
              <w:rPr>
                <w:rFonts w:asciiTheme="majorBidi" w:hAnsiTheme="majorBidi" w:cstheme="majorBidi"/>
                <w:b/>
                <w:bCs/>
                <w:sz w:val="24"/>
                <w:szCs w:val="24"/>
                <w:lang w:val="en-US"/>
              </w:rPr>
              <w:t>Empathie</w:t>
            </w:r>
            <w:proofErr w:type="spellEnd"/>
          </w:p>
        </w:tc>
        <w:tc>
          <w:tcPr>
            <w:tcW w:w="892" w:type="pct"/>
            <w:hideMark/>
          </w:tcPr>
          <w:p w14:paraId="7FD239FD" w14:textId="77777777" w:rsidR="00B83B13" w:rsidRPr="00B83B13" w:rsidRDefault="00B83B13" w:rsidP="00B83B13">
            <w:pPr>
              <w:spacing w:after="160" w:line="259" w:lineRule="auto"/>
              <w:jc w:val="both"/>
              <w:rPr>
                <w:rFonts w:asciiTheme="majorBidi" w:hAnsiTheme="majorBidi" w:cstheme="majorBidi"/>
                <w:sz w:val="24"/>
                <w:szCs w:val="24"/>
              </w:rPr>
            </w:pPr>
            <w:r w:rsidRPr="00B83B13">
              <w:rPr>
                <w:rFonts w:asciiTheme="majorBidi" w:hAnsiTheme="majorBidi" w:cstheme="majorBidi"/>
                <w:sz w:val="24"/>
                <w:szCs w:val="24"/>
                <w:lang w:val="en-US"/>
              </w:rPr>
              <w:t>3,761</w:t>
            </w:r>
          </w:p>
        </w:tc>
        <w:tc>
          <w:tcPr>
            <w:tcW w:w="995" w:type="pct"/>
            <w:hideMark/>
          </w:tcPr>
          <w:p w14:paraId="3F078AE2" w14:textId="77777777" w:rsidR="00B83B13" w:rsidRPr="00B83B13" w:rsidRDefault="00B83B13" w:rsidP="00B83B13">
            <w:pPr>
              <w:spacing w:after="160" w:line="259" w:lineRule="auto"/>
              <w:jc w:val="both"/>
              <w:rPr>
                <w:rFonts w:asciiTheme="majorBidi" w:hAnsiTheme="majorBidi" w:cstheme="majorBidi"/>
                <w:sz w:val="24"/>
                <w:szCs w:val="24"/>
              </w:rPr>
            </w:pPr>
            <w:r w:rsidRPr="00B83B13">
              <w:rPr>
                <w:rFonts w:asciiTheme="majorBidi" w:hAnsiTheme="majorBidi" w:cstheme="majorBidi"/>
                <w:sz w:val="24"/>
                <w:szCs w:val="24"/>
                <w:lang w:val="en-US"/>
              </w:rPr>
              <w:t>0,810</w:t>
            </w:r>
          </w:p>
        </w:tc>
        <w:tc>
          <w:tcPr>
            <w:tcW w:w="1406" w:type="pct"/>
            <w:hideMark/>
          </w:tcPr>
          <w:p w14:paraId="1F67D034" w14:textId="77777777" w:rsidR="00B83B13" w:rsidRPr="00B83B13" w:rsidRDefault="00B83B13" w:rsidP="00B83B13">
            <w:pPr>
              <w:spacing w:after="160" w:line="259" w:lineRule="auto"/>
              <w:jc w:val="both"/>
              <w:rPr>
                <w:rFonts w:asciiTheme="majorBidi" w:hAnsiTheme="majorBidi" w:cstheme="majorBidi"/>
                <w:sz w:val="24"/>
                <w:szCs w:val="24"/>
              </w:rPr>
            </w:pPr>
            <w:r w:rsidRPr="00B83B13">
              <w:rPr>
                <w:rFonts w:asciiTheme="majorBidi" w:hAnsiTheme="majorBidi" w:cstheme="majorBidi"/>
                <w:sz w:val="24"/>
                <w:szCs w:val="24"/>
                <w:lang w:val="en-US"/>
              </w:rPr>
              <w:t>1,50 – 5,00</w:t>
            </w:r>
          </w:p>
        </w:tc>
      </w:tr>
      <w:tr w:rsidR="00B83B13" w:rsidRPr="00B83B13" w14:paraId="554946F2" w14:textId="77777777" w:rsidTr="00B83B13">
        <w:trPr>
          <w:trHeight w:val="364"/>
        </w:trPr>
        <w:tc>
          <w:tcPr>
            <w:tcW w:w="1708" w:type="pct"/>
            <w:hideMark/>
          </w:tcPr>
          <w:p w14:paraId="7A52D24F" w14:textId="77777777" w:rsidR="00B83B13" w:rsidRPr="00B83B13" w:rsidRDefault="00B83B13" w:rsidP="00B83B13">
            <w:pPr>
              <w:spacing w:after="160" w:line="259" w:lineRule="auto"/>
              <w:jc w:val="both"/>
              <w:rPr>
                <w:rFonts w:asciiTheme="majorBidi" w:hAnsiTheme="majorBidi" w:cstheme="majorBidi"/>
                <w:sz w:val="24"/>
                <w:szCs w:val="24"/>
              </w:rPr>
            </w:pPr>
            <w:proofErr w:type="spellStart"/>
            <w:r w:rsidRPr="00B83B13">
              <w:rPr>
                <w:rFonts w:asciiTheme="majorBidi" w:hAnsiTheme="majorBidi" w:cstheme="majorBidi"/>
                <w:b/>
                <w:bCs/>
                <w:sz w:val="24"/>
                <w:szCs w:val="24"/>
                <w:lang w:val="en-US"/>
              </w:rPr>
              <w:t>Compétences</w:t>
            </w:r>
            <w:proofErr w:type="spellEnd"/>
            <w:r w:rsidRPr="00B83B13">
              <w:rPr>
                <w:rFonts w:asciiTheme="majorBidi" w:hAnsiTheme="majorBidi" w:cstheme="majorBidi"/>
                <w:b/>
                <w:bCs/>
                <w:sz w:val="24"/>
                <w:szCs w:val="24"/>
                <w:lang w:val="en-US"/>
              </w:rPr>
              <w:t xml:space="preserve"> du personnel</w:t>
            </w:r>
          </w:p>
        </w:tc>
        <w:tc>
          <w:tcPr>
            <w:tcW w:w="892" w:type="pct"/>
            <w:hideMark/>
          </w:tcPr>
          <w:p w14:paraId="565B0B05" w14:textId="77777777" w:rsidR="00B83B13" w:rsidRPr="00B83B13" w:rsidRDefault="00B83B13" w:rsidP="00B83B13">
            <w:pPr>
              <w:spacing w:after="160" w:line="259" w:lineRule="auto"/>
              <w:jc w:val="both"/>
              <w:rPr>
                <w:rFonts w:asciiTheme="majorBidi" w:hAnsiTheme="majorBidi" w:cstheme="majorBidi"/>
                <w:sz w:val="24"/>
                <w:szCs w:val="24"/>
              </w:rPr>
            </w:pPr>
            <w:r w:rsidRPr="00B83B13">
              <w:rPr>
                <w:rFonts w:asciiTheme="majorBidi" w:hAnsiTheme="majorBidi" w:cstheme="majorBidi"/>
                <w:sz w:val="24"/>
                <w:szCs w:val="24"/>
                <w:lang w:val="en-US"/>
              </w:rPr>
              <w:t>3,852</w:t>
            </w:r>
          </w:p>
        </w:tc>
        <w:tc>
          <w:tcPr>
            <w:tcW w:w="995" w:type="pct"/>
            <w:hideMark/>
          </w:tcPr>
          <w:p w14:paraId="7DC2B56D" w14:textId="77777777" w:rsidR="00B83B13" w:rsidRPr="00B83B13" w:rsidRDefault="00B83B13" w:rsidP="00B83B13">
            <w:pPr>
              <w:spacing w:after="160" w:line="259" w:lineRule="auto"/>
              <w:jc w:val="both"/>
              <w:rPr>
                <w:rFonts w:asciiTheme="majorBidi" w:hAnsiTheme="majorBidi" w:cstheme="majorBidi"/>
                <w:sz w:val="24"/>
                <w:szCs w:val="24"/>
              </w:rPr>
            </w:pPr>
            <w:r w:rsidRPr="00B83B13">
              <w:rPr>
                <w:rFonts w:asciiTheme="majorBidi" w:hAnsiTheme="majorBidi" w:cstheme="majorBidi"/>
                <w:sz w:val="24"/>
                <w:szCs w:val="24"/>
                <w:lang w:val="en-US"/>
              </w:rPr>
              <w:t>0,886</w:t>
            </w:r>
          </w:p>
        </w:tc>
        <w:tc>
          <w:tcPr>
            <w:tcW w:w="1406" w:type="pct"/>
            <w:hideMark/>
          </w:tcPr>
          <w:p w14:paraId="31B7050B" w14:textId="77777777" w:rsidR="00B83B13" w:rsidRPr="00B83B13" w:rsidRDefault="00B83B13" w:rsidP="00B83B13">
            <w:pPr>
              <w:spacing w:after="160" w:line="259" w:lineRule="auto"/>
              <w:jc w:val="both"/>
              <w:rPr>
                <w:rFonts w:asciiTheme="majorBidi" w:hAnsiTheme="majorBidi" w:cstheme="majorBidi"/>
                <w:sz w:val="24"/>
                <w:szCs w:val="24"/>
              </w:rPr>
            </w:pPr>
            <w:r w:rsidRPr="00B83B13">
              <w:rPr>
                <w:rFonts w:asciiTheme="majorBidi" w:hAnsiTheme="majorBidi" w:cstheme="majorBidi"/>
                <w:sz w:val="24"/>
                <w:szCs w:val="24"/>
                <w:lang w:val="en-US"/>
              </w:rPr>
              <w:t>1,50 – 5,00</w:t>
            </w:r>
          </w:p>
        </w:tc>
      </w:tr>
      <w:tr w:rsidR="00B83B13" w:rsidRPr="00B83B13" w14:paraId="0A98DD5E" w14:textId="77777777" w:rsidTr="00B83B13">
        <w:trPr>
          <w:trHeight w:val="436"/>
        </w:trPr>
        <w:tc>
          <w:tcPr>
            <w:tcW w:w="1708" w:type="pct"/>
            <w:hideMark/>
          </w:tcPr>
          <w:p w14:paraId="7733847B" w14:textId="77777777" w:rsidR="00B83B13" w:rsidRPr="00B83B13" w:rsidRDefault="00B83B13" w:rsidP="00B83B13">
            <w:pPr>
              <w:spacing w:after="160" w:line="259" w:lineRule="auto"/>
              <w:jc w:val="both"/>
              <w:rPr>
                <w:rFonts w:asciiTheme="majorBidi" w:hAnsiTheme="majorBidi" w:cstheme="majorBidi"/>
                <w:sz w:val="24"/>
                <w:szCs w:val="24"/>
              </w:rPr>
            </w:pPr>
            <w:proofErr w:type="spellStart"/>
            <w:r w:rsidRPr="00B83B13">
              <w:rPr>
                <w:rFonts w:asciiTheme="majorBidi" w:hAnsiTheme="majorBidi" w:cstheme="majorBidi"/>
                <w:b/>
                <w:bCs/>
                <w:sz w:val="24"/>
                <w:szCs w:val="24"/>
                <w:lang w:val="en-US"/>
              </w:rPr>
              <w:t>Fiabilité</w:t>
            </w:r>
            <w:proofErr w:type="spellEnd"/>
          </w:p>
        </w:tc>
        <w:tc>
          <w:tcPr>
            <w:tcW w:w="892" w:type="pct"/>
            <w:hideMark/>
          </w:tcPr>
          <w:p w14:paraId="0E6E6955" w14:textId="77777777" w:rsidR="00B83B13" w:rsidRPr="00B83B13" w:rsidRDefault="00B83B13" w:rsidP="00B83B13">
            <w:pPr>
              <w:spacing w:after="160" w:line="259" w:lineRule="auto"/>
              <w:jc w:val="both"/>
              <w:rPr>
                <w:rFonts w:asciiTheme="majorBidi" w:hAnsiTheme="majorBidi" w:cstheme="majorBidi"/>
                <w:sz w:val="24"/>
                <w:szCs w:val="24"/>
              </w:rPr>
            </w:pPr>
            <w:r w:rsidRPr="00B83B13">
              <w:rPr>
                <w:rFonts w:asciiTheme="majorBidi" w:hAnsiTheme="majorBidi" w:cstheme="majorBidi"/>
                <w:sz w:val="24"/>
                <w:szCs w:val="24"/>
                <w:lang w:val="en-US"/>
              </w:rPr>
              <w:t>3,765</w:t>
            </w:r>
          </w:p>
        </w:tc>
        <w:tc>
          <w:tcPr>
            <w:tcW w:w="995" w:type="pct"/>
            <w:hideMark/>
          </w:tcPr>
          <w:p w14:paraId="3CCBA517" w14:textId="77777777" w:rsidR="00B83B13" w:rsidRPr="00B83B13" w:rsidRDefault="00B83B13" w:rsidP="00B83B13">
            <w:pPr>
              <w:spacing w:after="160" w:line="259" w:lineRule="auto"/>
              <w:jc w:val="both"/>
              <w:rPr>
                <w:rFonts w:asciiTheme="majorBidi" w:hAnsiTheme="majorBidi" w:cstheme="majorBidi"/>
                <w:sz w:val="24"/>
                <w:szCs w:val="24"/>
              </w:rPr>
            </w:pPr>
            <w:r w:rsidRPr="00B83B13">
              <w:rPr>
                <w:rFonts w:asciiTheme="majorBidi" w:hAnsiTheme="majorBidi" w:cstheme="majorBidi"/>
                <w:sz w:val="24"/>
                <w:szCs w:val="24"/>
                <w:lang w:val="en-US"/>
              </w:rPr>
              <w:t>0,825</w:t>
            </w:r>
          </w:p>
        </w:tc>
        <w:tc>
          <w:tcPr>
            <w:tcW w:w="1406" w:type="pct"/>
            <w:hideMark/>
          </w:tcPr>
          <w:p w14:paraId="6B893A92" w14:textId="77777777" w:rsidR="00B83B13" w:rsidRPr="00B83B13" w:rsidRDefault="00B83B13" w:rsidP="00B83B13">
            <w:pPr>
              <w:spacing w:after="160" w:line="259" w:lineRule="auto"/>
              <w:jc w:val="both"/>
              <w:rPr>
                <w:rFonts w:asciiTheme="majorBidi" w:hAnsiTheme="majorBidi" w:cstheme="majorBidi"/>
                <w:sz w:val="24"/>
                <w:szCs w:val="24"/>
              </w:rPr>
            </w:pPr>
            <w:r w:rsidRPr="00B83B13">
              <w:rPr>
                <w:rFonts w:asciiTheme="majorBidi" w:hAnsiTheme="majorBidi" w:cstheme="majorBidi"/>
                <w:sz w:val="24"/>
                <w:szCs w:val="24"/>
                <w:lang w:val="en-US"/>
              </w:rPr>
              <w:t>2,00 – 5,00</w:t>
            </w:r>
          </w:p>
        </w:tc>
      </w:tr>
      <w:tr w:rsidR="00B83B13" w:rsidRPr="00B83B13" w14:paraId="03BA13F7" w14:textId="77777777" w:rsidTr="00B83B13">
        <w:trPr>
          <w:trHeight w:val="229"/>
        </w:trPr>
        <w:tc>
          <w:tcPr>
            <w:tcW w:w="1708" w:type="pct"/>
            <w:hideMark/>
          </w:tcPr>
          <w:p w14:paraId="25710909" w14:textId="77777777" w:rsidR="00B83B13" w:rsidRPr="00B83B13" w:rsidRDefault="00B83B13" w:rsidP="00B83B13">
            <w:pPr>
              <w:spacing w:after="160" w:line="259" w:lineRule="auto"/>
              <w:jc w:val="both"/>
              <w:rPr>
                <w:rFonts w:asciiTheme="majorBidi" w:hAnsiTheme="majorBidi" w:cstheme="majorBidi"/>
                <w:sz w:val="24"/>
                <w:szCs w:val="24"/>
              </w:rPr>
            </w:pPr>
            <w:r w:rsidRPr="00B83B13">
              <w:rPr>
                <w:rFonts w:asciiTheme="majorBidi" w:hAnsiTheme="majorBidi" w:cstheme="majorBidi"/>
                <w:b/>
                <w:bCs/>
                <w:sz w:val="24"/>
                <w:szCs w:val="24"/>
                <w:lang w:val="en-US"/>
              </w:rPr>
              <w:t>Interaction</w:t>
            </w:r>
          </w:p>
        </w:tc>
        <w:tc>
          <w:tcPr>
            <w:tcW w:w="892" w:type="pct"/>
            <w:hideMark/>
          </w:tcPr>
          <w:p w14:paraId="7C746659" w14:textId="77777777" w:rsidR="00B83B13" w:rsidRPr="00B83B13" w:rsidRDefault="00B83B13" w:rsidP="00B83B13">
            <w:pPr>
              <w:spacing w:after="160" w:line="259" w:lineRule="auto"/>
              <w:jc w:val="both"/>
              <w:rPr>
                <w:rFonts w:asciiTheme="majorBidi" w:hAnsiTheme="majorBidi" w:cstheme="majorBidi"/>
                <w:sz w:val="24"/>
                <w:szCs w:val="24"/>
              </w:rPr>
            </w:pPr>
            <w:r w:rsidRPr="00B83B13">
              <w:rPr>
                <w:rFonts w:asciiTheme="majorBidi" w:hAnsiTheme="majorBidi" w:cstheme="majorBidi"/>
                <w:sz w:val="24"/>
                <w:szCs w:val="24"/>
                <w:lang w:val="en-US"/>
              </w:rPr>
              <w:t>3,978</w:t>
            </w:r>
          </w:p>
        </w:tc>
        <w:tc>
          <w:tcPr>
            <w:tcW w:w="995" w:type="pct"/>
            <w:hideMark/>
          </w:tcPr>
          <w:p w14:paraId="18875A7F" w14:textId="77777777" w:rsidR="00B83B13" w:rsidRPr="00B83B13" w:rsidRDefault="00B83B13" w:rsidP="00B83B13">
            <w:pPr>
              <w:spacing w:after="160" w:line="259" w:lineRule="auto"/>
              <w:jc w:val="both"/>
              <w:rPr>
                <w:rFonts w:asciiTheme="majorBidi" w:hAnsiTheme="majorBidi" w:cstheme="majorBidi"/>
                <w:sz w:val="24"/>
                <w:szCs w:val="24"/>
              </w:rPr>
            </w:pPr>
            <w:r w:rsidRPr="00B83B13">
              <w:rPr>
                <w:rFonts w:asciiTheme="majorBidi" w:hAnsiTheme="majorBidi" w:cstheme="majorBidi"/>
                <w:sz w:val="24"/>
                <w:szCs w:val="24"/>
                <w:lang w:val="en-US"/>
              </w:rPr>
              <w:t>0,799</w:t>
            </w:r>
          </w:p>
        </w:tc>
        <w:tc>
          <w:tcPr>
            <w:tcW w:w="1406" w:type="pct"/>
            <w:hideMark/>
          </w:tcPr>
          <w:p w14:paraId="1BA77ED9" w14:textId="77777777" w:rsidR="00B83B13" w:rsidRPr="00B83B13" w:rsidRDefault="00B83B13" w:rsidP="00B83B13">
            <w:pPr>
              <w:spacing w:after="160" w:line="259" w:lineRule="auto"/>
              <w:jc w:val="both"/>
              <w:rPr>
                <w:rFonts w:asciiTheme="majorBidi" w:hAnsiTheme="majorBidi" w:cstheme="majorBidi"/>
                <w:sz w:val="24"/>
                <w:szCs w:val="24"/>
              </w:rPr>
            </w:pPr>
            <w:r w:rsidRPr="00B83B13">
              <w:rPr>
                <w:rFonts w:asciiTheme="majorBidi" w:hAnsiTheme="majorBidi" w:cstheme="majorBidi"/>
                <w:sz w:val="24"/>
                <w:szCs w:val="24"/>
                <w:lang w:val="en-US"/>
              </w:rPr>
              <w:t>2,67 – 5,00</w:t>
            </w:r>
          </w:p>
        </w:tc>
      </w:tr>
      <w:tr w:rsidR="00B83B13" w:rsidRPr="00B83B13" w14:paraId="0B71F01B" w14:textId="77777777" w:rsidTr="00B83B13">
        <w:trPr>
          <w:trHeight w:val="130"/>
        </w:trPr>
        <w:tc>
          <w:tcPr>
            <w:tcW w:w="1708" w:type="pct"/>
            <w:hideMark/>
          </w:tcPr>
          <w:p w14:paraId="149CA900" w14:textId="77777777" w:rsidR="00B83B13" w:rsidRPr="00B83B13" w:rsidRDefault="00B83B13" w:rsidP="00B83B13">
            <w:pPr>
              <w:spacing w:after="160" w:line="259" w:lineRule="auto"/>
              <w:jc w:val="both"/>
              <w:rPr>
                <w:rFonts w:asciiTheme="majorBidi" w:hAnsiTheme="majorBidi" w:cstheme="majorBidi"/>
                <w:sz w:val="24"/>
                <w:szCs w:val="24"/>
              </w:rPr>
            </w:pPr>
            <w:proofErr w:type="spellStart"/>
            <w:r w:rsidRPr="00B83B13">
              <w:rPr>
                <w:rFonts w:asciiTheme="majorBidi" w:hAnsiTheme="majorBidi" w:cstheme="majorBidi"/>
                <w:b/>
                <w:bCs/>
                <w:sz w:val="24"/>
                <w:szCs w:val="24"/>
                <w:lang w:val="en-US"/>
              </w:rPr>
              <w:t>Éléments</w:t>
            </w:r>
            <w:proofErr w:type="spellEnd"/>
            <w:r w:rsidRPr="00B83B13">
              <w:rPr>
                <w:rFonts w:asciiTheme="majorBidi" w:hAnsiTheme="majorBidi" w:cstheme="majorBidi"/>
                <w:b/>
                <w:bCs/>
                <w:sz w:val="24"/>
                <w:szCs w:val="24"/>
                <w:lang w:val="en-US"/>
              </w:rPr>
              <w:t xml:space="preserve"> tangibles</w:t>
            </w:r>
          </w:p>
        </w:tc>
        <w:tc>
          <w:tcPr>
            <w:tcW w:w="892" w:type="pct"/>
            <w:hideMark/>
          </w:tcPr>
          <w:p w14:paraId="590C164D" w14:textId="77777777" w:rsidR="00B83B13" w:rsidRPr="00B83B13" w:rsidRDefault="00B83B13" w:rsidP="00B83B13">
            <w:pPr>
              <w:spacing w:after="160" w:line="259" w:lineRule="auto"/>
              <w:jc w:val="both"/>
              <w:rPr>
                <w:rFonts w:asciiTheme="majorBidi" w:hAnsiTheme="majorBidi" w:cstheme="majorBidi"/>
                <w:sz w:val="24"/>
                <w:szCs w:val="24"/>
              </w:rPr>
            </w:pPr>
            <w:r w:rsidRPr="00B83B13">
              <w:rPr>
                <w:rFonts w:asciiTheme="majorBidi" w:hAnsiTheme="majorBidi" w:cstheme="majorBidi"/>
                <w:sz w:val="24"/>
                <w:szCs w:val="24"/>
                <w:lang w:val="en-US"/>
              </w:rPr>
              <w:t>3,894</w:t>
            </w:r>
          </w:p>
        </w:tc>
        <w:tc>
          <w:tcPr>
            <w:tcW w:w="995" w:type="pct"/>
            <w:hideMark/>
          </w:tcPr>
          <w:p w14:paraId="3FC075BE" w14:textId="77777777" w:rsidR="00B83B13" w:rsidRPr="00B83B13" w:rsidRDefault="00B83B13" w:rsidP="00B83B13">
            <w:pPr>
              <w:spacing w:after="160" w:line="259" w:lineRule="auto"/>
              <w:jc w:val="both"/>
              <w:rPr>
                <w:rFonts w:asciiTheme="majorBidi" w:hAnsiTheme="majorBidi" w:cstheme="majorBidi"/>
                <w:sz w:val="24"/>
                <w:szCs w:val="24"/>
              </w:rPr>
            </w:pPr>
            <w:r w:rsidRPr="00B83B13">
              <w:rPr>
                <w:rFonts w:asciiTheme="majorBidi" w:hAnsiTheme="majorBidi" w:cstheme="majorBidi"/>
                <w:sz w:val="24"/>
                <w:szCs w:val="24"/>
                <w:lang w:val="en-US"/>
              </w:rPr>
              <w:t>0,770</w:t>
            </w:r>
          </w:p>
        </w:tc>
        <w:tc>
          <w:tcPr>
            <w:tcW w:w="1406" w:type="pct"/>
            <w:hideMark/>
          </w:tcPr>
          <w:p w14:paraId="5571D7D5" w14:textId="77777777" w:rsidR="00B83B13" w:rsidRPr="00B83B13" w:rsidRDefault="00B83B13" w:rsidP="00B83B13">
            <w:pPr>
              <w:spacing w:after="160" w:line="259" w:lineRule="auto"/>
              <w:jc w:val="both"/>
              <w:rPr>
                <w:rFonts w:asciiTheme="majorBidi" w:hAnsiTheme="majorBidi" w:cstheme="majorBidi"/>
                <w:sz w:val="24"/>
                <w:szCs w:val="24"/>
              </w:rPr>
            </w:pPr>
            <w:r w:rsidRPr="00B83B13">
              <w:rPr>
                <w:rFonts w:asciiTheme="majorBidi" w:hAnsiTheme="majorBidi" w:cstheme="majorBidi"/>
                <w:sz w:val="24"/>
                <w:szCs w:val="24"/>
                <w:lang w:val="en-US"/>
              </w:rPr>
              <w:t>2,00 – 5,00</w:t>
            </w:r>
          </w:p>
        </w:tc>
      </w:tr>
    </w:tbl>
    <w:p w14:paraId="7ECEAA5A" w14:textId="77777777" w:rsidR="003A6D9C" w:rsidRDefault="003A6D9C" w:rsidP="004D4085">
      <w:pPr>
        <w:jc w:val="both"/>
        <w:rPr>
          <w:rFonts w:asciiTheme="majorBidi" w:hAnsiTheme="majorBidi" w:cstheme="majorBidi"/>
          <w:sz w:val="24"/>
          <w:szCs w:val="24"/>
        </w:rPr>
      </w:pPr>
    </w:p>
    <w:p w14:paraId="27312054" w14:textId="189A9EE6"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Source : Fait par l’auteur à partir des résultats du questionnaire (SPSS).</w:t>
      </w:r>
    </w:p>
    <w:p w14:paraId="22B20EEF"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Les résultats révèlent une perception globalement favorable de la qualité de service par les clients des banques mauritaniennes, en particulier pour les dimensions liées à l’assurance, à la réactivité et à la compétence du personnel. Néanmoins, certaines dimensions, notamment la fiabilité et les éléments tangibles, présentent des scores relativement plus faibles, indiquant des marges d’amélioration potentielles.</w:t>
      </w:r>
    </w:p>
    <w:p w14:paraId="5561B766" w14:textId="77777777" w:rsidR="00DC0157" w:rsidRPr="003A6D9C" w:rsidRDefault="00DC0157" w:rsidP="004D4085">
      <w:pPr>
        <w:jc w:val="both"/>
        <w:rPr>
          <w:rFonts w:asciiTheme="majorBidi" w:hAnsiTheme="majorBidi" w:cstheme="majorBidi"/>
          <w:b/>
          <w:bCs/>
          <w:sz w:val="24"/>
          <w:szCs w:val="24"/>
        </w:rPr>
      </w:pPr>
      <w:r w:rsidRPr="003A6D9C">
        <w:rPr>
          <w:rFonts w:asciiTheme="majorBidi" w:hAnsiTheme="majorBidi" w:cstheme="majorBidi"/>
          <w:b/>
          <w:bCs/>
          <w:sz w:val="24"/>
          <w:szCs w:val="24"/>
        </w:rPr>
        <w:t>5.5. Qualité de service et performance bancaire</w:t>
      </w:r>
    </w:p>
    <w:p w14:paraId="20C5B187"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Afin d’examiner la relation entre la qualité de service et la performance bancaire, l’analyse s’est appuyée sur l’indicateur financier ROE.</w:t>
      </w:r>
    </w:p>
    <w:p w14:paraId="73F019C9" w14:textId="4E7F1E44" w:rsidR="001142DA" w:rsidRPr="004D4085" w:rsidRDefault="00DC0157" w:rsidP="004D4085">
      <w:pPr>
        <w:jc w:val="both"/>
        <w:rPr>
          <w:rFonts w:asciiTheme="majorBidi" w:hAnsiTheme="majorBidi" w:cstheme="majorBidi"/>
          <w:sz w:val="24"/>
          <w:szCs w:val="24"/>
          <w:rtl/>
        </w:rPr>
      </w:pPr>
      <w:r w:rsidRPr="003A6D9C">
        <w:rPr>
          <w:rFonts w:asciiTheme="majorBidi" w:hAnsiTheme="majorBidi" w:cstheme="majorBidi"/>
          <w:b/>
          <w:bCs/>
          <w:sz w:val="24"/>
          <w:szCs w:val="24"/>
        </w:rPr>
        <w:t>Tableau 6</w:t>
      </w:r>
      <w:r w:rsidRPr="004D4085">
        <w:rPr>
          <w:rFonts w:asciiTheme="majorBidi" w:hAnsiTheme="majorBidi" w:cstheme="majorBidi"/>
          <w:sz w:val="24"/>
          <w:szCs w:val="24"/>
        </w:rPr>
        <w:t xml:space="preserve"> : Rentabilité des fonds propres (ROE) des banques mauritaniennes (20</w:t>
      </w:r>
      <w:r w:rsidR="00180A8D" w:rsidRPr="004D4085">
        <w:rPr>
          <w:rFonts w:asciiTheme="majorBidi" w:hAnsiTheme="majorBidi" w:cstheme="majorBidi"/>
          <w:sz w:val="24"/>
          <w:szCs w:val="24"/>
          <w:rtl/>
        </w:rPr>
        <w:t>19</w:t>
      </w:r>
      <w:r w:rsidRPr="004D4085">
        <w:rPr>
          <w:rFonts w:asciiTheme="majorBidi" w:hAnsiTheme="majorBidi" w:cstheme="majorBidi"/>
          <w:sz w:val="24"/>
          <w:szCs w:val="24"/>
        </w:rPr>
        <w:t>–202</w:t>
      </w:r>
      <w:r w:rsidR="00180A8D" w:rsidRPr="004D4085">
        <w:rPr>
          <w:rFonts w:asciiTheme="majorBidi" w:hAnsiTheme="majorBidi" w:cstheme="majorBidi"/>
          <w:sz w:val="24"/>
          <w:szCs w:val="24"/>
          <w:rtl/>
        </w:rPr>
        <w:t>2</w:t>
      </w:r>
      <w:r w:rsidRPr="004D4085">
        <w:rPr>
          <w:rFonts w:asciiTheme="majorBidi" w:hAnsiTheme="majorBidi" w:cstheme="majorBidi"/>
          <w:sz w:val="24"/>
          <w:szCs w:val="24"/>
        </w:rPr>
        <w:t>)</w:t>
      </w:r>
    </w:p>
    <w:tbl>
      <w:tblPr>
        <w:tblStyle w:val="Grilledutableau"/>
        <w:tblW w:w="5000" w:type="pct"/>
        <w:tblLook w:val="04A0" w:firstRow="1" w:lastRow="0" w:firstColumn="1" w:lastColumn="0" w:noHBand="0" w:noVBand="1"/>
      </w:tblPr>
      <w:tblGrid>
        <w:gridCol w:w="1878"/>
        <w:gridCol w:w="1796"/>
        <w:gridCol w:w="1796"/>
        <w:gridCol w:w="1796"/>
        <w:gridCol w:w="1796"/>
      </w:tblGrid>
      <w:tr w:rsidR="00180A8D" w:rsidRPr="004D4085" w14:paraId="120FC12D" w14:textId="77777777" w:rsidTr="00180A8D">
        <w:trPr>
          <w:trHeight w:val="292"/>
        </w:trPr>
        <w:tc>
          <w:tcPr>
            <w:tcW w:w="1036" w:type="pct"/>
            <w:hideMark/>
          </w:tcPr>
          <w:p w14:paraId="6C737FD4" w14:textId="77777777" w:rsidR="00180A8D" w:rsidRPr="003A6D9C" w:rsidRDefault="00180A8D" w:rsidP="004D4085">
            <w:pPr>
              <w:jc w:val="both"/>
              <w:rPr>
                <w:rFonts w:asciiTheme="majorBidi" w:hAnsiTheme="majorBidi" w:cstheme="majorBidi"/>
                <w:b/>
                <w:bCs/>
                <w:sz w:val="24"/>
                <w:szCs w:val="24"/>
              </w:rPr>
            </w:pPr>
            <w:r w:rsidRPr="003A6D9C">
              <w:rPr>
                <w:rFonts w:asciiTheme="majorBidi" w:hAnsiTheme="majorBidi" w:cstheme="majorBidi"/>
                <w:b/>
                <w:bCs/>
                <w:sz w:val="24"/>
                <w:szCs w:val="24"/>
                <w:lang w:val="en-US"/>
              </w:rPr>
              <w:t>Banque</w:t>
            </w:r>
          </w:p>
        </w:tc>
        <w:tc>
          <w:tcPr>
            <w:tcW w:w="991" w:type="pct"/>
            <w:hideMark/>
          </w:tcPr>
          <w:p w14:paraId="25FBDD35" w14:textId="302859C1" w:rsidR="00180A8D" w:rsidRPr="003A6D9C" w:rsidRDefault="00180A8D" w:rsidP="004D4085">
            <w:pPr>
              <w:jc w:val="both"/>
              <w:rPr>
                <w:rFonts w:asciiTheme="majorBidi" w:hAnsiTheme="majorBidi" w:cstheme="majorBidi"/>
                <w:b/>
                <w:bCs/>
                <w:sz w:val="24"/>
                <w:szCs w:val="24"/>
              </w:rPr>
            </w:pPr>
            <w:r w:rsidRPr="003A6D9C">
              <w:rPr>
                <w:rFonts w:asciiTheme="majorBidi" w:hAnsiTheme="majorBidi" w:cstheme="majorBidi"/>
                <w:b/>
                <w:bCs/>
                <w:sz w:val="24"/>
                <w:szCs w:val="24"/>
                <w:lang w:val="en-US"/>
              </w:rPr>
              <w:t>20</w:t>
            </w:r>
            <w:r w:rsidRPr="003A6D9C">
              <w:rPr>
                <w:rFonts w:asciiTheme="majorBidi" w:hAnsiTheme="majorBidi" w:cstheme="majorBidi"/>
                <w:b/>
                <w:bCs/>
                <w:sz w:val="24"/>
                <w:szCs w:val="24"/>
                <w:rtl/>
              </w:rPr>
              <w:t>19</w:t>
            </w:r>
          </w:p>
        </w:tc>
        <w:tc>
          <w:tcPr>
            <w:tcW w:w="991" w:type="pct"/>
            <w:hideMark/>
          </w:tcPr>
          <w:p w14:paraId="4A61F107" w14:textId="28BD6554" w:rsidR="00180A8D" w:rsidRPr="003A6D9C" w:rsidRDefault="00180A8D" w:rsidP="004D4085">
            <w:pPr>
              <w:jc w:val="both"/>
              <w:rPr>
                <w:rFonts w:asciiTheme="majorBidi" w:hAnsiTheme="majorBidi" w:cstheme="majorBidi"/>
                <w:b/>
                <w:bCs/>
                <w:sz w:val="24"/>
                <w:szCs w:val="24"/>
              </w:rPr>
            </w:pPr>
            <w:r w:rsidRPr="003A6D9C">
              <w:rPr>
                <w:rFonts w:asciiTheme="majorBidi" w:hAnsiTheme="majorBidi" w:cstheme="majorBidi"/>
                <w:b/>
                <w:bCs/>
                <w:sz w:val="24"/>
                <w:szCs w:val="24"/>
                <w:lang w:val="en-US"/>
              </w:rPr>
              <w:t>202</w:t>
            </w:r>
            <w:r w:rsidRPr="003A6D9C">
              <w:rPr>
                <w:rFonts w:asciiTheme="majorBidi" w:hAnsiTheme="majorBidi" w:cstheme="majorBidi"/>
                <w:b/>
                <w:bCs/>
                <w:sz w:val="24"/>
                <w:szCs w:val="24"/>
                <w:rtl/>
              </w:rPr>
              <w:t>0</w:t>
            </w:r>
          </w:p>
        </w:tc>
        <w:tc>
          <w:tcPr>
            <w:tcW w:w="991" w:type="pct"/>
            <w:hideMark/>
          </w:tcPr>
          <w:p w14:paraId="2A686AEB" w14:textId="6385A584" w:rsidR="00180A8D" w:rsidRPr="003A6D9C" w:rsidRDefault="00180A8D" w:rsidP="004D4085">
            <w:pPr>
              <w:jc w:val="both"/>
              <w:rPr>
                <w:rFonts w:asciiTheme="majorBidi" w:hAnsiTheme="majorBidi" w:cstheme="majorBidi"/>
                <w:b/>
                <w:bCs/>
                <w:sz w:val="24"/>
                <w:szCs w:val="24"/>
              </w:rPr>
            </w:pPr>
            <w:r w:rsidRPr="003A6D9C">
              <w:rPr>
                <w:rFonts w:asciiTheme="majorBidi" w:hAnsiTheme="majorBidi" w:cstheme="majorBidi"/>
                <w:b/>
                <w:bCs/>
                <w:sz w:val="24"/>
                <w:szCs w:val="24"/>
                <w:lang w:val="en-US"/>
              </w:rPr>
              <w:t>202</w:t>
            </w:r>
            <w:r w:rsidRPr="003A6D9C">
              <w:rPr>
                <w:rFonts w:asciiTheme="majorBidi" w:hAnsiTheme="majorBidi" w:cstheme="majorBidi"/>
                <w:b/>
                <w:bCs/>
                <w:sz w:val="24"/>
                <w:szCs w:val="24"/>
                <w:rtl/>
              </w:rPr>
              <w:t>1</w:t>
            </w:r>
          </w:p>
        </w:tc>
        <w:tc>
          <w:tcPr>
            <w:tcW w:w="991" w:type="pct"/>
            <w:hideMark/>
          </w:tcPr>
          <w:p w14:paraId="02DA76E4" w14:textId="3A1B0B5B" w:rsidR="00180A8D" w:rsidRPr="003A6D9C" w:rsidRDefault="00180A8D" w:rsidP="004D4085">
            <w:pPr>
              <w:jc w:val="both"/>
              <w:rPr>
                <w:rFonts w:asciiTheme="majorBidi" w:hAnsiTheme="majorBidi" w:cstheme="majorBidi"/>
                <w:b/>
                <w:bCs/>
                <w:sz w:val="24"/>
                <w:szCs w:val="24"/>
              </w:rPr>
            </w:pPr>
            <w:r w:rsidRPr="003A6D9C">
              <w:rPr>
                <w:rFonts w:asciiTheme="majorBidi" w:hAnsiTheme="majorBidi" w:cstheme="majorBidi"/>
                <w:b/>
                <w:bCs/>
                <w:sz w:val="24"/>
                <w:szCs w:val="24"/>
                <w:lang w:val="en-US"/>
              </w:rPr>
              <w:t>202</w:t>
            </w:r>
            <w:r w:rsidRPr="003A6D9C">
              <w:rPr>
                <w:rFonts w:asciiTheme="majorBidi" w:hAnsiTheme="majorBidi" w:cstheme="majorBidi"/>
                <w:b/>
                <w:bCs/>
                <w:sz w:val="24"/>
                <w:szCs w:val="24"/>
                <w:rtl/>
              </w:rPr>
              <w:t>2</w:t>
            </w:r>
          </w:p>
        </w:tc>
      </w:tr>
      <w:tr w:rsidR="00180A8D" w:rsidRPr="004D4085" w14:paraId="07415A68" w14:textId="77777777" w:rsidTr="00180A8D">
        <w:trPr>
          <w:trHeight w:val="166"/>
        </w:trPr>
        <w:tc>
          <w:tcPr>
            <w:tcW w:w="1036" w:type="pct"/>
            <w:hideMark/>
          </w:tcPr>
          <w:p w14:paraId="0172A59C"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BMCI</w:t>
            </w:r>
          </w:p>
        </w:tc>
        <w:tc>
          <w:tcPr>
            <w:tcW w:w="991" w:type="pct"/>
            <w:hideMark/>
          </w:tcPr>
          <w:p w14:paraId="2647F604"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3,85 %</w:t>
            </w:r>
          </w:p>
        </w:tc>
        <w:tc>
          <w:tcPr>
            <w:tcW w:w="991" w:type="pct"/>
            <w:hideMark/>
          </w:tcPr>
          <w:p w14:paraId="31B5AE9A"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4,25 %</w:t>
            </w:r>
          </w:p>
        </w:tc>
        <w:tc>
          <w:tcPr>
            <w:tcW w:w="991" w:type="pct"/>
            <w:hideMark/>
          </w:tcPr>
          <w:p w14:paraId="21F8234D"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5,55 %</w:t>
            </w:r>
          </w:p>
        </w:tc>
        <w:tc>
          <w:tcPr>
            <w:tcW w:w="991" w:type="pct"/>
            <w:hideMark/>
          </w:tcPr>
          <w:p w14:paraId="476EF888"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5,88 %</w:t>
            </w:r>
          </w:p>
        </w:tc>
      </w:tr>
      <w:tr w:rsidR="00180A8D" w:rsidRPr="004D4085" w14:paraId="7A4F79E0" w14:textId="77777777" w:rsidTr="00180A8D">
        <w:trPr>
          <w:trHeight w:val="40"/>
        </w:trPr>
        <w:tc>
          <w:tcPr>
            <w:tcW w:w="1036" w:type="pct"/>
            <w:hideMark/>
          </w:tcPr>
          <w:p w14:paraId="7135ED3E"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BPM</w:t>
            </w:r>
          </w:p>
        </w:tc>
        <w:tc>
          <w:tcPr>
            <w:tcW w:w="991" w:type="pct"/>
            <w:hideMark/>
          </w:tcPr>
          <w:p w14:paraId="3CDB5CD5"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-2,30 %</w:t>
            </w:r>
          </w:p>
        </w:tc>
        <w:tc>
          <w:tcPr>
            <w:tcW w:w="991" w:type="pct"/>
            <w:hideMark/>
          </w:tcPr>
          <w:p w14:paraId="46853437"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0,19 %</w:t>
            </w:r>
          </w:p>
        </w:tc>
        <w:tc>
          <w:tcPr>
            <w:tcW w:w="991" w:type="pct"/>
            <w:hideMark/>
          </w:tcPr>
          <w:p w14:paraId="7F30FDD7"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4,99 %</w:t>
            </w:r>
          </w:p>
        </w:tc>
        <w:tc>
          <w:tcPr>
            <w:tcW w:w="991" w:type="pct"/>
            <w:hideMark/>
          </w:tcPr>
          <w:p w14:paraId="15871579"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5,89 %</w:t>
            </w:r>
          </w:p>
        </w:tc>
      </w:tr>
      <w:tr w:rsidR="00180A8D" w:rsidRPr="004D4085" w14:paraId="47355031" w14:textId="77777777" w:rsidTr="00180A8D">
        <w:trPr>
          <w:trHeight w:val="157"/>
        </w:trPr>
        <w:tc>
          <w:tcPr>
            <w:tcW w:w="1036" w:type="pct"/>
            <w:hideMark/>
          </w:tcPr>
          <w:p w14:paraId="56038C0C"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BIM</w:t>
            </w:r>
          </w:p>
        </w:tc>
        <w:tc>
          <w:tcPr>
            <w:tcW w:w="991" w:type="pct"/>
            <w:hideMark/>
          </w:tcPr>
          <w:p w14:paraId="612083FF"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2,78 %</w:t>
            </w:r>
          </w:p>
        </w:tc>
        <w:tc>
          <w:tcPr>
            <w:tcW w:w="991" w:type="pct"/>
            <w:hideMark/>
          </w:tcPr>
          <w:p w14:paraId="3774AD19"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4,45 %</w:t>
            </w:r>
          </w:p>
        </w:tc>
        <w:tc>
          <w:tcPr>
            <w:tcW w:w="991" w:type="pct"/>
            <w:hideMark/>
          </w:tcPr>
          <w:p w14:paraId="12215B4C"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8,75 %</w:t>
            </w:r>
          </w:p>
        </w:tc>
        <w:tc>
          <w:tcPr>
            <w:tcW w:w="991" w:type="pct"/>
            <w:hideMark/>
          </w:tcPr>
          <w:p w14:paraId="24B82377"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-0,98 %</w:t>
            </w:r>
          </w:p>
        </w:tc>
      </w:tr>
      <w:tr w:rsidR="00180A8D" w:rsidRPr="004D4085" w14:paraId="7EA772E6" w14:textId="77777777" w:rsidTr="00180A8D">
        <w:trPr>
          <w:trHeight w:val="40"/>
        </w:trPr>
        <w:tc>
          <w:tcPr>
            <w:tcW w:w="1036" w:type="pct"/>
            <w:hideMark/>
          </w:tcPr>
          <w:p w14:paraId="635237F9"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BMI</w:t>
            </w:r>
          </w:p>
        </w:tc>
        <w:tc>
          <w:tcPr>
            <w:tcW w:w="991" w:type="pct"/>
            <w:hideMark/>
          </w:tcPr>
          <w:p w14:paraId="643A32EE"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1,40 %</w:t>
            </w:r>
          </w:p>
        </w:tc>
        <w:tc>
          <w:tcPr>
            <w:tcW w:w="991" w:type="pct"/>
            <w:hideMark/>
          </w:tcPr>
          <w:p w14:paraId="27C0CEBF"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6,89 %</w:t>
            </w:r>
          </w:p>
        </w:tc>
        <w:tc>
          <w:tcPr>
            <w:tcW w:w="991" w:type="pct"/>
            <w:hideMark/>
          </w:tcPr>
          <w:p w14:paraId="2AC839A6"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6,99 %</w:t>
            </w:r>
          </w:p>
        </w:tc>
        <w:tc>
          <w:tcPr>
            <w:tcW w:w="991" w:type="pct"/>
            <w:hideMark/>
          </w:tcPr>
          <w:p w14:paraId="5E585AFD"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6,52 %</w:t>
            </w:r>
          </w:p>
        </w:tc>
      </w:tr>
      <w:tr w:rsidR="00180A8D" w:rsidRPr="004D4085" w14:paraId="04D15255" w14:textId="77777777" w:rsidTr="00180A8D">
        <w:trPr>
          <w:trHeight w:val="40"/>
        </w:trPr>
        <w:tc>
          <w:tcPr>
            <w:tcW w:w="1036" w:type="pct"/>
            <w:hideMark/>
          </w:tcPr>
          <w:p w14:paraId="78EFDD55"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BCI</w:t>
            </w:r>
          </w:p>
        </w:tc>
        <w:tc>
          <w:tcPr>
            <w:tcW w:w="991" w:type="pct"/>
            <w:hideMark/>
          </w:tcPr>
          <w:p w14:paraId="250B08C8"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1,50 %</w:t>
            </w:r>
          </w:p>
        </w:tc>
        <w:tc>
          <w:tcPr>
            <w:tcW w:w="991" w:type="pct"/>
            <w:hideMark/>
          </w:tcPr>
          <w:p w14:paraId="335CA0B9"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4,48 %</w:t>
            </w:r>
          </w:p>
        </w:tc>
        <w:tc>
          <w:tcPr>
            <w:tcW w:w="991" w:type="pct"/>
            <w:hideMark/>
          </w:tcPr>
          <w:p w14:paraId="038E984D"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3,09 %</w:t>
            </w:r>
          </w:p>
        </w:tc>
        <w:tc>
          <w:tcPr>
            <w:tcW w:w="991" w:type="pct"/>
            <w:hideMark/>
          </w:tcPr>
          <w:p w14:paraId="10757334"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2,54 %</w:t>
            </w:r>
          </w:p>
        </w:tc>
      </w:tr>
      <w:tr w:rsidR="00180A8D" w:rsidRPr="004D4085" w14:paraId="5213A98D" w14:textId="77777777" w:rsidTr="00180A8D">
        <w:trPr>
          <w:trHeight w:val="40"/>
        </w:trPr>
        <w:tc>
          <w:tcPr>
            <w:tcW w:w="1036" w:type="pct"/>
            <w:hideMark/>
          </w:tcPr>
          <w:p w14:paraId="6D504272"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BAMIS</w:t>
            </w:r>
          </w:p>
        </w:tc>
        <w:tc>
          <w:tcPr>
            <w:tcW w:w="991" w:type="pct"/>
            <w:hideMark/>
          </w:tcPr>
          <w:p w14:paraId="3B11F8C4"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5,87 %</w:t>
            </w:r>
          </w:p>
        </w:tc>
        <w:tc>
          <w:tcPr>
            <w:tcW w:w="991" w:type="pct"/>
            <w:hideMark/>
          </w:tcPr>
          <w:p w14:paraId="3B8139AA"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6,79 %</w:t>
            </w:r>
          </w:p>
        </w:tc>
        <w:tc>
          <w:tcPr>
            <w:tcW w:w="991" w:type="pct"/>
            <w:hideMark/>
          </w:tcPr>
          <w:p w14:paraId="678E0D04"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5,67 %</w:t>
            </w:r>
          </w:p>
        </w:tc>
        <w:tc>
          <w:tcPr>
            <w:tcW w:w="991" w:type="pct"/>
            <w:hideMark/>
          </w:tcPr>
          <w:p w14:paraId="4F963F9F"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4,97 %</w:t>
            </w:r>
          </w:p>
        </w:tc>
      </w:tr>
      <w:tr w:rsidR="00180A8D" w:rsidRPr="004D4085" w14:paraId="07393ACC" w14:textId="77777777" w:rsidTr="00180A8D">
        <w:trPr>
          <w:trHeight w:val="40"/>
        </w:trPr>
        <w:tc>
          <w:tcPr>
            <w:tcW w:w="1036" w:type="pct"/>
            <w:hideMark/>
          </w:tcPr>
          <w:p w14:paraId="575C6A8D"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BNM</w:t>
            </w:r>
          </w:p>
        </w:tc>
        <w:tc>
          <w:tcPr>
            <w:tcW w:w="991" w:type="pct"/>
            <w:hideMark/>
          </w:tcPr>
          <w:p w14:paraId="0F708562"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4,30 %</w:t>
            </w:r>
          </w:p>
        </w:tc>
        <w:tc>
          <w:tcPr>
            <w:tcW w:w="991" w:type="pct"/>
            <w:hideMark/>
          </w:tcPr>
          <w:p w14:paraId="6AB9B220"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4,87 %</w:t>
            </w:r>
          </w:p>
        </w:tc>
        <w:tc>
          <w:tcPr>
            <w:tcW w:w="991" w:type="pct"/>
            <w:hideMark/>
          </w:tcPr>
          <w:p w14:paraId="70F3784C"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4,91 %</w:t>
            </w:r>
          </w:p>
        </w:tc>
        <w:tc>
          <w:tcPr>
            <w:tcW w:w="991" w:type="pct"/>
            <w:hideMark/>
          </w:tcPr>
          <w:p w14:paraId="475AF36B"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5,40 %</w:t>
            </w:r>
          </w:p>
        </w:tc>
      </w:tr>
    </w:tbl>
    <w:p w14:paraId="5B3849FB" w14:textId="5EBA1B33"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lastRenderedPageBreak/>
        <w:t>Source : États financiers des banques mauritaniennes, compilation de l’auteur.</w:t>
      </w:r>
    </w:p>
    <w:p w14:paraId="1D3D4E33" w14:textId="7E317A5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L’analyse des données financières met en évidence une évolution contrastée de la rentabilité des fonds propres entre les banques et sur la période étudiée. Ces résultats soulignent que la performance financière demeure hétérogène, ce qui justifie l’analyse des facteurs explicatifs liés aux pratiques de gestion et à la qualité de service.</w:t>
      </w:r>
    </w:p>
    <w:p w14:paraId="53EDC455" w14:textId="77777777" w:rsidR="00DC0157" w:rsidRPr="003A6D9C" w:rsidRDefault="00DC0157" w:rsidP="004D4085">
      <w:pPr>
        <w:jc w:val="both"/>
        <w:rPr>
          <w:rFonts w:asciiTheme="majorBidi" w:hAnsiTheme="majorBidi" w:cstheme="majorBidi"/>
          <w:b/>
          <w:bCs/>
          <w:sz w:val="24"/>
          <w:szCs w:val="24"/>
        </w:rPr>
      </w:pPr>
      <w:r w:rsidRPr="003A6D9C">
        <w:rPr>
          <w:rFonts w:asciiTheme="majorBidi" w:hAnsiTheme="majorBidi" w:cstheme="majorBidi"/>
          <w:b/>
          <w:bCs/>
          <w:sz w:val="24"/>
          <w:szCs w:val="24"/>
        </w:rPr>
        <w:t>5.6. Validation du rôle médiateur de la qualité de service</w:t>
      </w:r>
    </w:p>
    <w:p w14:paraId="6391C77F"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La validation du rôle médiateur de la qualité de service repose sur l’examen conjoint des relations entre le TQM, la qualité de service et la performance bancaire.</w:t>
      </w:r>
    </w:p>
    <w:p w14:paraId="29FBDFD0" w14:textId="77777777" w:rsidR="00180A8D" w:rsidRPr="004D4085" w:rsidRDefault="00DC0157" w:rsidP="004D4085">
      <w:pPr>
        <w:jc w:val="both"/>
        <w:rPr>
          <w:rFonts w:asciiTheme="majorBidi" w:hAnsiTheme="majorBidi" w:cstheme="majorBidi"/>
          <w:sz w:val="24"/>
          <w:szCs w:val="24"/>
          <w:rtl/>
        </w:rPr>
      </w:pPr>
      <w:r w:rsidRPr="003A6D9C">
        <w:rPr>
          <w:rFonts w:asciiTheme="majorBidi" w:hAnsiTheme="majorBidi" w:cstheme="majorBidi"/>
          <w:b/>
          <w:bCs/>
          <w:sz w:val="24"/>
          <w:szCs w:val="24"/>
        </w:rPr>
        <w:t>Tableau 7</w:t>
      </w:r>
      <w:r w:rsidRPr="004D4085">
        <w:rPr>
          <w:rFonts w:asciiTheme="majorBidi" w:hAnsiTheme="majorBidi" w:cstheme="majorBidi"/>
          <w:sz w:val="24"/>
          <w:szCs w:val="24"/>
        </w:rPr>
        <w:t xml:space="preserve"> : Validation des hypothèses par type de tests</w:t>
      </w:r>
    </w:p>
    <w:tbl>
      <w:tblPr>
        <w:tblStyle w:val="Grilledutableau"/>
        <w:tblW w:w="5000" w:type="pct"/>
        <w:tblLook w:val="05A0" w:firstRow="1" w:lastRow="0" w:firstColumn="1" w:lastColumn="1" w:noHBand="0" w:noVBand="1"/>
      </w:tblPr>
      <w:tblGrid>
        <w:gridCol w:w="1243"/>
        <w:gridCol w:w="3234"/>
        <w:gridCol w:w="3515"/>
        <w:gridCol w:w="1070"/>
      </w:tblGrid>
      <w:tr w:rsidR="00E504E8" w:rsidRPr="004D4085" w14:paraId="239316C7" w14:textId="77777777" w:rsidTr="00180A8D">
        <w:trPr>
          <w:trHeight w:val="583"/>
        </w:trPr>
        <w:tc>
          <w:tcPr>
            <w:tcW w:w="661" w:type="pct"/>
            <w:hideMark/>
          </w:tcPr>
          <w:p w14:paraId="57C93C9A" w14:textId="77777777" w:rsidR="00180A8D" w:rsidRPr="004D4085" w:rsidRDefault="00180A8D" w:rsidP="004D4085">
            <w:pPr>
              <w:jc w:val="both"/>
              <w:rPr>
                <w:rFonts w:asciiTheme="majorBidi" w:hAnsiTheme="majorBidi" w:cstheme="majorBidi"/>
                <w:sz w:val="24"/>
                <w:szCs w:val="24"/>
              </w:rPr>
            </w:pPr>
            <w:proofErr w:type="spellStart"/>
            <w:r w:rsidRPr="004D4085">
              <w:rPr>
                <w:rFonts w:asciiTheme="majorBidi" w:hAnsiTheme="majorBidi" w:cstheme="majorBidi"/>
                <w:sz w:val="24"/>
                <w:szCs w:val="24"/>
                <w:lang w:val="en-US"/>
              </w:rPr>
              <w:t>Hypothèse</w:t>
            </w:r>
            <w:proofErr w:type="spellEnd"/>
          </w:p>
        </w:tc>
        <w:tc>
          <w:tcPr>
            <w:tcW w:w="1819" w:type="pct"/>
            <w:hideMark/>
          </w:tcPr>
          <w:p w14:paraId="5E26C087"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 xml:space="preserve">Test / </w:t>
            </w:r>
            <w:proofErr w:type="spellStart"/>
            <w:r w:rsidRPr="004D4085">
              <w:rPr>
                <w:rFonts w:asciiTheme="majorBidi" w:hAnsiTheme="majorBidi" w:cstheme="majorBidi"/>
                <w:sz w:val="24"/>
                <w:szCs w:val="24"/>
                <w:lang w:val="en-US"/>
              </w:rPr>
              <w:t>Indicateur</w:t>
            </w:r>
            <w:proofErr w:type="spellEnd"/>
          </w:p>
        </w:tc>
        <w:tc>
          <w:tcPr>
            <w:tcW w:w="1974" w:type="pct"/>
            <w:hideMark/>
          </w:tcPr>
          <w:p w14:paraId="0FB4DA0E" w14:textId="77777777" w:rsidR="00180A8D" w:rsidRPr="004D4085" w:rsidRDefault="00180A8D" w:rsidP="004D4085">
            <w:pPr>
              <w:jc w:val="both"/>
              <w:rPr>
                <w:rFonts w:asciiTheme="majorBidi" w:hAnsiTheme="majorBidi" w:cstheme="majorBidi"/>
                <w:sz w:val="24"/>
                <w:szCs w:val="24"/>
              </w:rPr>
            </w:pPr>
            <w:proofErr w:type="spellStart"/>
            <w:r w:rsidRPr="004D4085">
              <w:rPr>
                <w:rFonts w:asciiTheme="majorBidi" w:hAnsiTheme="majorBidi" w:cstheme="majorBidi"/>
                <w:sz w:val="24"/>
                <w:szCs w:val="24"/>
                <w:lang w:val="en-US"/>
              </w:rPr>
              <w:t>Résultat</w:t>
            </w:r>
            <w:proofErr w:type="spellEnd"/>
            <w:r w:rsidRPr="004D4085">
              <w:rPr>
                <w:rFonts w:asciiTheme="majorBidi" w:hAnsiTheme="majorBidi" w:cstheme="majorBidi"/>
                <w:sz w:val="24"/>
                <w:szCs w:val="24"/>
                <w:lang w:val="en-US"/>
              </w:rPr>
              <w:t xml:space="preserve"> </w:t>
            </w:r>
            <w:proofErr w:type="spellStart"/>
            <w:r w:rsidRPr="004D4085">
              <w:rPr>
                <w:rFonts w:asciiTheme="majorBidi" w:hAnsiTheme="majorBidi" w:cstheme="majorBidi"/>
                <w:sz w:val="24"/>
                <w:szCs w:val="24"/>
                <w:lang w:val="en-US"/>
              </w:rPr>
              <w:t>clé</w:t>
            </w:r>
            <w:proofErr w:type="spellEnd"/>
          </w:p>
        </w:tc>
        <w:tc>
          <w:tcPr>
            <w:tcW w:w="546" w:type="pct"/>
            <w:hideMark/>
          </w:tcPr>
          <w:p w14:paraId="281E0ADA" w14:textId="77777777" w:rsidR="00180A8D" w:rsidRPr="004D4085" w:rsidRDefault="00180A8D" w:rsidP="004D4085">
            <w:pPr>
              <w:jc w:val="both"/>
              <w:rPr>
                <w:rFonts w:asciiTheme="majorBidi" w:hAnsiTheme="majorBidi" w:cstheme="majorBidi"/>
                <w:sz w:val="24"/>
                <w:szCs w:val="24"/>
              </w:rPr>
            </w:pPr>
            <w:proofErr w:type="spellStart"/>
            <w:r w:rsidRPr="004D4085">
              <w:rPr>
                <w:rFonts w:asciiTheme="majorBidi" w:hAnsiTheme="majorBidi" w:cstheme="majorBidi"/>
                <w:sz w:val="24"/>
                <w:szCs w:val="24"/>
                <w:lang w:val="en-US"/>
              </w:rPr>
              <w:t>Décision</w:t>
            </w:r>
            <w:proofErr w:type="spellEnd"/>
          </w:p>
        </w:tc>
      </w:tr>
      <w:tr w:rsidR="00180A8D" w:rsidRPr="004D4085" w14:paraId="4FB0FDA3" w14:textId="77777777" w:rsidTr="00180A8D">
        <w:trPr>
          <w:trHeight w:val="447"/>
        </w:trPr>
        <w:tc>
          <w:tcPr>
            <w:tcW w:w="661" w:type="pct"/>
            <w:hideMark/>
          </w:tcPr>
          <w:p w14:paraId="5CDD9201"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H4</w:t>
            </w:r>
          </w:p>
        </w:tc>
        <w:tc>
          <w:tcPr>
            <w:tcW w:w="1819" w:type="pct"/>
            <w:hideMark/>
          </w:tcPr>
          <w:p w14:paraId="3B3715AB"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rPr>
              <w:t>Scores composites + tests t (Qualité de service)</w:t>
            </w:r>
          </w:p>
        </w:tc>
        <w:tc>
          <w:tcPr>
            <w:tcW w:w="1974" w:type="pct"/>
            <w:hideMark/>
          </w:tcPr>
          <w:p w14:paraId="4B470AC6" w14:textId="77777777" w:rsidR="00180A8D" w:rsidRPr="004D4085" w:rsidRDefault="00180A8D" w:rsidP="004D4085">
            <w:pPr>
              <w:jc w:val="both"/>
              <w:rPr>
                <w:rFonts w:asciiTheme="majorBidi" w:hAnsiTheme="majorBidi" w:cstheme="majorBidi"/>
                <w:sz w:val="24"/>
                <w:szCs w:val="24"/>
              </w:rPr>
            </w:pPr>
            <w:r w:rsidRPr="004D4085">
              <w:rPr>
                <w:rFonts w:asciiTheme="majorBidi" w:hAnsiTheme="majorBidi" w:cstheme="majorBidi"/>
                <w:sz w:val="24"/>
                <w:szCs w:val="24"/>
              </w:rPr>
              <w:t>Moyennes élevées et statistiquement significatives</w:t>
            </w:r>
          </w:p>
        </w:tc>
        <w:tc>
          <w:tcPr>
            <w:tcW w:w="546" w:type="pct"/>
            <w:hideMark/>
          </w:tcPr>
          <w:p w14:paraId="7F753CF8" w14:textId="77777777" w:rsidR="00180A8D" w:rsidRPr="004D4085" w:rsidRDefault="00180A8D" w:rsidP="004D4085">
            <w:pPr>
              <w:jc w:val="both"/>
              <w:rPr>
                <w:rFonts w:asciiTheme="majorBidi" w:hAnsiTheme="majorBidi" w:cstheme="majorBidi"/>
                <w:sz w:val="24"/>
                <w:szCs w:val="24"/>
              </w:rPr>
            </w:pPr>
            <w:proofErr w:type="spellStart"/>
            <w:r w:rsidRPr="004D4085">
              <w:rPr>
                <w:rFonts w:asciiTheme="majorBidi" w:hAnsiTheme="majorBidi" w:cstheme="majorBidi"/>
                <w:sz w:val="24"/>
                <w:szCs w:val="24"/>
                <w:lang w:val="en-US"/>
              </w:rPr>
              <w:t>Validée</w:t>
            </w:r>
            <w:proofErr w:type="spellEnd"/>
          </w:p>
        </w:tc>
      </w:tr>
    </w:tbl>
    <w:p w14:paraId="6A9F2C13" w14:textId="3BDF461B" w:rsidR="00DC0157" w:rsidRDefault="00DC0157" w:rsidP="004D4085">
      <w:pPr>
        <w:jc w:val="both"/>
        <w:rPr>
          <w:rFonts w:asciiTheme="majorBidi" w:hAnsiTheme="majorBidi" w:cstheme="majorBidi"/>
          <w:sz w:val="24"/>
          <w:szCs w:val="24"/>
          <w:rtl/>
        </w:rPr>
      </w:pPr>
      <w:r w:rsidRPr="004D4085">
        <w:rPr>
          <w:rFonts w:asciiTheme="majorBidi" w:hAnsiTheme="majorBidi" w:cstheme="majorBidi"/>
          <w:sz w:val="24"/>
          <w:szCs w:val="24"/>
        </w:rPr>
        <w:t>Source : Élaboration de l’auteur à partir des résultats empiriques de l’étude.</w:t>
      </w:r>
    </w:p>
    <w:p w14:paraId="507E5C58" w14:textId="39FCE009" w:rsidR="00CC5AE9" w:rsidRPr="004D4085" w:rsidRDefault="00CC5AE9" w:rsidP="00CC5AE9">
      <w:pPr>
        <w:jc w:val="both"/>
        <w:rPr>
          <w:rFonts w:asciiTheme="majorBidi" w:hAnsiTheme="majorBidi" w:cstheme="majorBidi"/>
          <w:sz w:val="24"/>
          <w:szCs w:val="24"/>
        </w:rPr>
      </w:pPr>
      <w:r w:rsidRPr="00CC5AE9">
        <w:rPr>
          <w:rFonts w:asciiTheme="majorBidi" w:hAnsiTheme="majorBidi" w:cstheme="majorBidi"/>
          <w:sz w:val="24"/>
          <w:szCs w:val="24"/>
        </w:rPr>
        <w:t>Validation basée sur l’approche séquentielle de la médiation</w:t>
      </w:r>
    </w:p>
    <w:p w14:paraId="776AC60A" w14:textId="77777777" w:rsidR="00DC0157" w:rsidRDefault="00DC0157" w:rsidP="004D4085">
      <w:pPr>
        <w:jc w:val="both"/>
        <w:rPr>
          <w:rFonts w:asciiTheme="majorBidi" w:hAnsiTheme="majorBidi" w:cstheme="majorBidi"/>
          <w:sz w:val="24"/>
          <w:szCs w:val="24"/>
          <w:rtl/>
        </w:rPr>
      </w:pPr>
      <w:r w:rsidRPr="004D4085">
        <w:rPr>
          <w:rFonts w:asciiTheme="majorBidi" w:hAnsiTheme="majorBidi" w:cstheme="majorBidi"/>
          <w:sz w:val="24"/>
          <w:szCs w:val="24"/>
        </w:rPr>
        <w:t>Les résultats montrent que les pratiques de gestion de la qualité totale exercent un effet significatif sur la qualité de service, laquelle influence à son tour la performance bancaire. Ces constats confirment l’hypothèse H4, selon laquelle la qualité de service joue un rôle médiateur significatif dans la relation entre le TQM et la performance bancaire.</w:t>
      </w:r>
    </w:p>
    <w:p w14:paraId="051A74A3" w14:textId="24B25383" w:rsidR="00776963" w:rsidRPr="004D4085" w:rsidRDefault="00776963" w:rsidP="00847F93">
      <w:pPr>
        <w:jc w:val="both"/>
        <w:rPr>
          <w:rFonts w:asciiTheme="majorBidi" w:hAnsiTheme="majorBidi" w:cstheme="majorBidi"/>
          <w:sz w:val="24"/>
          <w:szCs w:val="24"/>
        </w:rPr>
      </w:pPr>
      <w:r w:rsidRPr="00776963">
        <w:rPr>
          <w:rFonts w:asciiTheme="majorBidi" w:hAnsiTheme="majorBidi" w:cstheme="majorBidi"/>
          <w:sz w:val="24"/>
          <w:szCs w:val="24"/>
        </w:rPr>
        <w:t>Conformément à l’approche séquentielle de Baron et Kenny, l’analyse empirique a permis de vérifier successivement l’effet de la gestion de la qualité totale sur la performance bancaire, l’effet du TQM sur la qualité de service, ainsi que l’effet de la qualité de service sur la performance financière. Les résultats obtenus confirment que l’introduction de la qualité de service réduit l’effet direct du TQM sur la performance bancaire, ce qui atteste de l’existence d’un effet médiateur significatif. Bien que l’étude ne recoure pas à des tests avancés de médiation tels que la méthode de Sobel ou le modèle PROCESS, la cohérence des relations observées et leur significativité statistique soutiennent empiriquement le rôle médiateur de la qualité de service dans le modèle proposé.</w:t>
      </w:r>
    </w:p>
    <w:p w14:paraId="4FACB173"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6. Discussion des résultats</w:t>
      </w:r>
    </w:p>
    <w:p w14:paraId="2F205ECC"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Cette section vise à interpréter les principaux résultats empiriques obtenus à la lumière du cadre théorique mobilisé et des travaux antérieurs. L’analyse met en évidence la pertinence du modèle conceptuel proposé et permet de mieux comprendre les mécanismes par lesquels la gestion de la qualité totale influence la performance bancaire dans le contexte mauritanien.</w:t>
      </w:r>
    </w:p>
    <w:p w14:paraId="07E17FAB"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6.1. Gestion de la qualité totale et performance bancaire</w:t>
      </w:r>
    </w:p>
    <w:p w14:paraId="70EB8881"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 xml:space="preserve">Les résultats empiriques confirment que les pratiques de la gestion de la qualité totale exercent une influence positive et significative sur la performance bancaire. Les dimensions relatives à l’orientation vers les employés, à l’engagement du personnel, à la formation aux principes du TQM et au leadership de la direction générale présentent des effets statistiquement significatifs, </w:t>
      </w:r>
      <w:r w:rsidRPr="004D4085">
        <w:rPr>
          <w:rFonts w:asciiTheme="majorBidi" w:hAnsiTheme="majorBidi" w:cstheme="majorBidi"/>
          <w:sz w:val="24"/>
          <w:szCs w:val="24"/>
        </w:rPr>
        <w:lastRenderedPageBreak/>
        <w:t>traduisant le rôle central des facteurs humains et organisationnels dans l’amélioration de la performance des banques.</w:t>
      </w:r>
    </w:p>
    <w:p w14:paraId="16E09E59"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 xml:space="preserve">Ces résultats sont cohérents avec les travaux antérieurs qui soulignent que le TQM constitue un levier stratégique de performance organisationnelle et financière dans le secteur des services (Psomas &amp; Antony, 2016 ; </w:t>
      </w:r>
      <w:proofErr w:type="spellStart"/>
      <w:r w:rsidRPr="004D4085">
        <w:rPr>
          <w:rFonts w:asciiTheme="majorBidi" w:hAnsiTheme="majorBidi" w:cstheme="majorBidi"/>
          <w:sz w:val="24"/>
          <w:szCs w:val="24"/>
        </w:rPr>
        <w:t>Kafetzopoulos</w:t>
      </w:r>
      <w:proofErr w:type="spellEnd"/>
      <w:r w:rsidRPr="004D4085">
        <w:rPr>
          <w:rFonts w:asciiTheme="majorBidi" w:hAnsiTheme="majorBidi" w:cstheme="majorBidi"/>
          <w:sz w:val="24"/>
          <w:szCs w:val="24"/>
        </w:rPr>
        <w:t xml:space="preserve"> et al., 2019). Ils confirment également les conclusions de Khan et al. (2023), selon lesquelles l’implication des employés et l’engagement du management favorisent une meilleure efficacité opérationnelle et une amélioration des résultats financiers dans les institutions bancaires.</w:t>
      </w:r>
    </w:p>
    <w:p w14:paraId="42277BF2"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Dans le contexte mauritanien, ces constats suggèrent que l’adoption des pratiques de TQM, bien que partielle et hétérogène, contribue néanmoins à renforcer la performance bancaire. Toutefois, l’ampleur des effets observés indique que le TQM ne produit pas automatiquement des gains financiers immédiats, mais agit progressivement à travers l’amélioration des pratiques internes et de la culture organisationnelle.</w:t>
      </w:r>
    </w:p>
    <w:p w14:paraId="7FCAD4EB"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6.2. Qualité de service et performance bancaire</w:t>
      </w:r>
    </w:p>
    <w:p w14:paraId="23572BB1"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Les résultats relatifs à la qualité de service montrent que les clients des banques mauritaniennes perçoivent globalement positivement les services bancaires, en particulier en ce qui concerne l’assurance, la réactivité et la compétence du personnel. Ces dimensions, fortement liées à la confiance et à la sécurité des transactions, apparaissent comme des déterminants essentiels de la satisfaction et de la fidélité des clients.</w:t>
      </w:r>
    </w:p>
    <w:p w14:paraId="6233E390"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Ces résultats rejoignent les conclusions de Nguyen et Pham (2023) et d’Al-</w:t>
      </w:r>
      <w:proofErr w:type="spellStart"/>
      <w:r w:rsidRPr="004D4085">
        <w:rPr>
          <w:rFonts w:asciiTheme="majorBidi" w:hAnsiTheme="majorBidi" w:cstheme="majorBidi"/>
          <w:sz w:val="24"/>
          <w:szCs w:val="24"/>
        </w:rPr>
        <w:t>Hawary</w:t>
      </w:r>
      <w:proofErr w:type="spellEnd"/>
      <w:r w:rsidRPr="004D4085">
        <w:rPr>
          <w:rFonts w:asciiTheme="majorBidi" w:hAnsiTheme="majorBidi" w:cstheme="majorBidi"/>
          <w:sz w:val="24"/>
          <w:szCs w:val="24"/>
        </w:rPr>
        <w:t xml:space="preserve"> (2024), qui mettent en évidence l’importance de la qualité de service comme facteur clé de différenciation concurrentielle et de performance bancaire. En revanche, les scores relativement plus faibles observés pour certaines dimensions, telles que la fiabilité et les éléments tangibles, soulignent l’existence de marges d’amélioration, notamment en matière de modernisation des infrastructures et de digitalisation des services.</w:t>
      </w:r>
    </w:p>
    <w:p w14:paraId="7BAE0957"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Dans un environnement bancaire en mutation, marqué par une concurrence accrue et des attentes croissantes des clients, ces résultats confirment que la qualité de service constitue un déterminant stratégique de la performance globale des banques, au-delà des seuls indicateurs financiers.</w:t>
      </w:r>
    </w:p>
    <w:p w14:paraId="5EA93C60"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6.3. Rôle médiateur de la qualité de service</w:t>
      </w:r>
    </w:p>
    <w:p w14:paraId="1D7E0CC3"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L’un des apports majeurs de cette recherche réside dans la validation empirique du rôle médiateur de la qualité de service dans la relation entre la gestion de la qualité totale et la performance bancaire. Les résultats montrent que les pratiques de TQM influencent significativement la qualité de service, laquelle agit ensuite comme un mécanisme de transmission vers la performance financière, mesurée par la rentabilité des fonds propres (ROE).</w:t>
      </w:r>
    </w:p>
    <w:p w14:paraId="07BC5F2C"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Cette médiation confirme les approches théoriques fondées sur la chaîne de valeur des services, selon lesquelles l’amélioration des pratiques internes se traduit d’abord par une meilleure qualité de service perçue par les clients, avant de se refléter dans les résultats financiers (Talib &amp; Rahman, 2024). Elle corrobore également les travaux récents d’Al-</w:t>
      </w:r>
      <w:proofErr w:type="spellStart"/>
      <w:r w:rsidRPr="004D4085">
        <w:rPr>
          <w:rFonts w:asciiTheme="majorBidi" w:hAnsiTheme="majorBidi" w:cstheme="majorBidi"/>
          <w:sz w:val="24"/>
          <w:szCs w:val="24"/>
        </w:rPr>
        <w:t>Hawary</w:t>
      </w:r>
      <w:proofErr w:type="spellEnd"/>
      <w:r w:rsidRPr="004D4085">
        <w:rPr>
          <w:rFonts w:asciiTheme="majorBidi" w:hAnsiTheme="majorBidi" w:cstheme="majorBidi"/>
          <w:sz w:val="24"/>
          <w:szCs w:val="24"/>
        </w:rPr>
        <w:t xml:space="preserve"> (2024), qui </w:t>
      </w:r>
      <w:r w:rsidRPr="004D4085">
        <w:rPr>
          <w:rFonts w:asciiTheme="majorBidi" w:hAnsiTheme="majorBidi" w:cstheme="majorBidi"/>
          <w:sz w:val="24"/>
          <w:szCs w:val="24"/>
        </w:rPr>
        <w:lastRenderedPageBreak/>
        <w:t>soulignent que la qualité de service médie partiellement l’effet des pratiques managériales orientées qualité sur la performance des banques.</w:t>
      </w:r>
    </w:p>
    <w:p w14:paraId="609BD5A7"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Dans le contexte spécifique des banques mauritaniennes, cette médiation apparaît particulièrement pertinente. Elle suggère que l’amélioration de la performance financière ne dépend pas uniquement de l’adoption formelle des pratiques de TQM, mais surtout de leur capacité à générer une amélioration tangible de la qualité de service perçue par les clients. Ainsi, la qualité de service constitue un levier stratégique essentiel permettant de transformer les efforts internes de gestion de la qualité en avantages concurrentiels durables.</w:t>
      </w:r>
    </w:p>
    <w:p w14:paraId="55604A1F"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6.4. Apports théoriques de la recherche</w:t>
      </w:r>
    </w:p>
    <w:p w14:paraId="6A087B06"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Sur le plan théorique, cette recherche contribue à enrichir la littérature relative à la gestion de la qualité totale et à la performance bancaire en proposant un modèle intégrateur adapté au contexte des pays en développement. Elle met en évidence le rôle central de la qualité de service comme variable médiatrice, permettant de mieux comprendre les mécanismes explicatifs reliant le TQM à la performance financière.</w:t>
      </w:r>
    </w:p>
    <w:p w14:paraId="6264875E"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En outre, l’étude apporte une contribution empirique originale en validant ce modèle dans le contexte du secteur bancaire mauritanien, encore peu exploré dans les travaux académiques antérieurs. Elle confirme que les relations établies dans les économies développées peuvent être observées, sous certaines conditions, dans des contextes institutionnels et organisationnels différents.</w:t>
      </w:r>
    </w:p>
    <w:p w14:paraId="0C146858"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7. Implications managériales</w:t>
      </w:r>
    </w:p>
    <w:p w14:paraId="05F3A800"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Les résultats de cette recherche offrent plusieurs implications managériales importantes pour les dirigeants et les responsables du secteur bancaire mauritanien. En mettant en évidence le rôle central de la gestion de la qualité totale et de la qualité de service dans l’amélioration de la performance bancaire, l’étude fournit des orientations concrètes susceptibles de guider les stratégies managériales et organisationnelles des banques.</w:t>
      </w:r>
    </w:p>
    <w:p w14:paraId="6F80CC08"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Premièrement, les résultats soulignent l’importance d’une intégration effective et globale du TQM dans la stratégie des banques. Les pratiques de gestion de la qualité totale ne doivent pas être considérées comme des outils opérationnels isolés, mais comme un cadre managérial structurant, intégré à la vision stratégique de l’établissement. À cet égard, l’engagement visible et durable de la direction générale apparaît comme un facteur déterminant pour diffuser une culture organisationnelle orientée qualité, améliorer la coordination des processus internes et renforcer la performance globale des banques.</w:t>
      </w:r>
    </w:p>
    <w:p w14:paraId="3B204C69"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Deuxièmement, l’étude met en évidence le rôle clé des ressources humaines dans la réussite des démarches TQM. L’orientation vers les employés, leur implication dans les processus décisionnels et la formation continue aux principes du TQM constituent des leviers essentiels pour améliorer la qualité des services bancaires. Les dirigeants sont ainsi invités à investir davantage dans le développement des compétences, la motivation et l’autonomisation du personnel, afin de renforcer la cohérence entre les pratiques internes et les attentes des clients.</w:t>
      </w:r>
    </w:p>
    <w:p w14:paraId="61203B93"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 xml:space="preserve">Troisièmement, les résultats confirment que la qualité de service représente un mécanisme stratégique par lequel les pratiques de TQM se traduisent en performance financière. Les </w:t>
      </w:r>
      <w:r w:rsidRPr="004D4085">
        <w:rPr>
          <w:rFonts w:asciiTheme="majorBidi" w:hAnsiTheme="majorBidi" w:cstheme="majorBidi"/>
          <w:sz w:val="24"/>
          <w:szCs w:val="24"/>
        </w:rPr>
        <w:lastRenderedPageBreak/>
        <w:t>managers bancaires doivent accorder une attention particulière aux dimensions de la qualité de service perçues par les clients, notamment la fiabilité, la réactivité, l’assurance et l’empathie. L’amélioration continue de ces dimensions permet non seulement d’accroître la satisfaction et la fidélité des clients, mais également de renforcer la rentabilité et la compétitivité des banques.</w:t>
      </w:r>
    </w:p>
    <w:p w14:paraId="2C9A51AB"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Quatrièmement, les résultats mettent en évidence la nécessité de renforcer les systèmes de pilotage et d’évaluation de la qualité. Les banques gagneraient à mettre en place des indicateurs de performance intégrant à la fois des dimensions financières (telles que le ROE) et non financières (qualité de service, satisfaction des clients, engagement des employés). Une telle approche permettrait de mieux aligner les objectifs opérationnels avec la stratégie globale de l’établissement et d’améliorer la prise de décision managériale.</w:t>
      </w:r>
    </w:p>
    <w:p w14:paraId="373BC9BD"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Enfin, dans un contexte marqué par la transformation numérique du secteur bancaire, l’étude suggère que la digitalisation des services constitue un levier complémentaire pour renforcer la qualité de service et la performance bancaire. L’intégration des technologies digitales dans les démarches de TQM peut contribuer à améliorer la rapidité des services, la fiabilité des opérations et l’expérience client, tout en soutenant les efforts d’amélioration continue et de maîtrise des processus.</w:t>
      </w:r>
    </w:p>
    <w:p w14:paraId="0BB72F7B"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Ainsi, les implications managériales de cette recherche mettent en évidence que l’amélioration durable de la performance bancaire repose sur une combinaison cohérente entre pratiques de gestion de la qualité totale, qualité de service et pilotage stratégique, adaptée aux spécificités du secteur bancaire mauritanien.</w:t>
      </w:r>
    </w:p>
    <w:p w14:paraId="25658BEA"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8. Conclusion, limites et perspectives de recherche</w:t>
      </w:r>
    </w:p>
    <w:p w14:paraId="43B556AA"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Cet article avait pour objectif d’analyser le rôle médiateur de la qualité de service dans la relation entre la gestion de la qualité totale et la performance bancaire, à travers une étude empirique appliquée au secteur bancaire mauritanien. En mobilisant un cadre théorique intégrateur et une méthodologie quantitative rigoureuse, la recherche a permis de mettre en évidence les mécanismes par lesquels les pratiques de TQM influencent la performance financière des banques.</w:t>
      </w:r>
    </w:p>
    <w:p w14:paraId="1ECA9C9D"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Les résultats empiriques confirment que la gestion de la qualité totale constitue un levier stratégique d’amélioration de la performance bancaire. Les pratiques liées à l’orientation vers les employés, à l’engagement du personnel, à la formation aux principes du TQM et au leadership managérial exercent des effets positifs et significatifs sur la performance organisationnelle. Toutefois, ces effets ne se manifestent pas uniquement de manière directe, mais transitent principalement par l’amélioration de la qualité de service perçue par les clients.</w:t>
      </w:r>
    </w:p>
    <w:p w14:paraId="5DE6F93E"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La validation empirique du rôle médiateur de la qualité de service constitue l’apport central de cet article. Elle met en évidence que la performance financière des banques, mesurée par la rentabilité des fonds propres (ROE), dépend largement de la capacité des établissements à transformer les pratiques internes de gestion de la qualité en une amélioration tangible de la qualité de service. Ce résultat souligne l’importance stratégique de la qualité de service comme mécanisme de création de valeur dans le secteur bancaire, en particulier dans les contextes des pays en développement.</w:t>
      </w:r>
    </w:p>
    <w:p w14:paraId="00F4A0EF"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lastRenderedPageBreak/>
        <w:t>Sur le plan théorique, cette recherche contribue à enrichir la littérature relative à la gestion de la qualité totale et à la performance bancaire en proposant un modèle explicatif intégrant la qualité de service comme variable médiatrice. Elle apporte une validation empirique originale dans le contexte du secteur bancaire mauritanien, encore peu exploré par les travaux antérieurs, et confirme la pertinence des approches fondées sur la chaîne de valeur des services.</w:t>
      </w:r>
    </w:p>
    <w:p w14:paraId="43CEA965" w14:textId="77777777" w:rsidR="00DC0157" w:rsidRPr="004D4085" w:rsidRDefault="00DC0157" w:rsidP="004D4085">
      <w:pPr>
        <w:jc w:val="both"/>
        <w:rPr>
          <w:rFonts w:asciiTheme="majorBidi" w:hAnsiTheme="majorBidi" w:cstheme="majorBidi"/>
          <w:sz w:val="24"/>
          <w:szCs w:val="24"/>
        </w:rPr>
      </w:pPr>
      <w:r w:rsidRPr="004D4085">
        <w:rPr>
          <w:rFonts w:asciiTheme="majorBidi" w:hAnsiTheme="majorBidi" w:cstheme="majorBidi"/>
          <w:sz w:val="24"/>
          <w:szCs w:val="24"/>
        </w:rPr>
        <w:t>Malgré ces contributions, certaines limites doivent être soulignées. Premièrement, la recherche repose sur un design transversal, ce qui limite l’analyse des effets dynamiques et de long terme des pratiques de TQM sur la performance bancaire. Deuxièmement, l’étude se concentre sur les banques mauritaniennes traditionnelles, ce qui peut restreindre la généralisation des résultats à d’autres types d’institutions financières. Enfin, l’analyse de la performance bancaire repose principalement sur un indicateur financier unique (ROE), qui, bien que pertinent, ne permet pas de capturer l’ensemble des dimensions de la performance.</w:t>
      </w:r>
    </w:p>
    <w:p w14:paraId="6A4566D9" w14:textId="77777777" w:rsidR="00DC0157" w:rsidRDefault="00DC0157" w:rsidP="004D4085">
      <w:pPr>
        <w:jc w:val="both"/>
        <w:rPr>
          <w:rFonts w:asciiTheme="majorBidi" w:hAnsiTheme="majorBidi" w:cstheme="majorBidi"/>
          <w:sz w:val="24"/>
          <w:szCs w:val="24"/>
          <w:rtl/>
        </w:rPr>
      </w:pPr>
      <w:r w:rsidRPr="004D4085">
        <w:rPr>
          <w:rFonts w:asciiTheme="majorBidi" w:hAnsiTheme="majorBidi" w:cstheme="majorBidi"/>
          <w:sz w:val="24"/>
          <w:szCs w:val="24"/>
        </w:rPr>
        <w:t>Ces limites ouvrent plusieurs perspectives pour de futures recherches. Des études longitudinales pourraient permettre d’analyser l’évolution des effets du TQM et de la qualité de service sur la performance bancaire dans le temps. Par ailleurs, l’intégration d’autres indicateurs de performance, financiers et non financiers, ainsi que l’extension de l’analyse aux banques islamiques ou à d’autres contextes géographiques, pourraient enrichir la compréhension des mécanismes étudiés. Enfin, l’exploration du rôle de la digitalisation bancaire comme variable modératrice ou médiatrice constitue une piste de recherche prometteuse pour approfondir l’analyse des liens entre la gestion de la qualité, la qualité de service et la performance bancaire.</w:t>
      </w:r>
    </w:p>
    <w:p w14:paraId="2D93F72B" w14:textId="73F4BC32" w:rsidR="00776963" w:rsidRPr="004D4085" w:rsidRDefault="00776963" w:rsidP="00776963">
      <w:pPr>
        <w:jc w:val="both"/>
        <w:rPr>
          <w:rFonts w:asciiTheme="majorBidi" w:hAnsiTheme="majorBidi" w:cstheme="majorBidi"/>
          <w:sz w:val="24"/>
          <w:szCs w:val="24"/>
        </w:rPr>
      </w:pPr>
      <w:r w:rsidRPr="00776963">
        <w:rPr>
          <w:rFonts w:asciiTheme="majorBidi" w:hAnsiTheme="majorBidi" w:cstheme="majorBidi"/>
          <w:sz w:val="24"/>
          <w:szCs w:val="24"/>
        </w:rPr>
        <w:t>Enfin, les recherches futures pourraient approfondir l’analyse en intégrant la transformation digitale et les technologies financières (FinTech) comme variables modératrices ou médiatrices dans la relation entre le TQM, la qualité de service et la performance bancaire. L’étude de l’impact des services bancaires digitaux sur la perception de la qualité et la rentabilité financière constitue une piste prometteuse, notamment dans les économies en développement confrontées à une modernisation rapide de leurs systèmes financiers.</w:t>
      </w:r>
    </w:p>
    <w:p w14:paraId="7917001F" w14:textId="77777777" w:rsidR="00425935" w:rsidRPr="004D4085" w:rsidRDefault="00425935" w:rsidP="004D4085">
      <w:pPr>
        <w:jc w:val="both"/>
        <w:rPr>
          <w:rFonts w:asciiTheme="majorBidi" w:hAnsiTheme="majorBidi" w:cstheme="majorBidi"/>
          <w:sz w:val="24"/>
          <w:szCs w:val="24"/>
        </w:rPr>
      </w:pPr>
      <w:r w:rsidRPr="004D4085">
        <w:rPr>
          <w:rFonts w:asciiTheme="majorBidi" w:hAnsiTheme="majorBidi" w:cstheme="majorBidi"/>
          <w:sz w:val="24"/>
          <w:szCs w:val="24"/>
        </w:rPr>
        <w:t>Bibliographie finale (2015–2024)</w:t>
      </w:r>
    </w:p>
    <w:p w14:paraId="026CAE7E" w14:textId="77777777" w:rsidR="00425935" w:rsidRPr="004D4085" w:rsidRDefault="00425935" w:rsidP="004D4085">
      <w:pPr>
        <w:jc w:val="both"/>
        <w:rPr>
          <w:rFonts w:asciiTheme="majorBidi" w:hAnsiTheme="majorBidi" w:cstheme="majorBidi"/>
          <w:sz w:val="24"/>
          <w:szCs w:val="24"/>
          <w:lang w:val="en-US"/>
        </w:rPr>
      </w:pPr>
      <w:r w:rsidRPr="004D4085">
        <w:rPr>
          <w:rFonts w:asciiTheme="majorBidi" w:hAnsiTheme="majorBidi" w:cstheme="majorBidi"/>
          <w:sz w:val="24"/>
          <w:szCs w:val="24"/>
        </w:rPr>
        <w:t>Ameen Al-</w:t>
      </w:r>
      <w:proofErr w:type="spellStart"/>
      <w:r w:rsidRPr="004D4085">
        <w:rPr>
          <w:rFonts w:asciiTheme="majorBidi" w:hAnsiTheme="majorBidi" w:cstheme="majorBidi"/>
          <w:sz w:val="24"/>
          <w:szCs w:val="24"/>
        </w:rPr>
        <w:t>basheer</w:t>
      </w:r>
      <w:proofErr w:type="spellEnd"/>
      <w:r w:rsidRPr="004D4085">
        <w:rPr>
          <w:rFonts w:asciiTheme="majorBidi" w:hAnsiTheme="majorBidi" w:cstheme="majorBidi"/>
          <w:sz w:val="24"/>
          <w:szCs w:val="24"/>
        </w:rPr>
        <w:t xml:space="preserve">, (2015). </w:t>
      </w:r>
      <w:r w:rsidRPr="004D4085">
        <w:rPr>
          <w:rFonts w:asciiTheme="majorBidi" w:hAnsiTheme="majorBidi" w:cstheme="majorBidi"/>
          <w:sz w:val="24"/>
          <w:szCs w:val="24"/>
          <w:lang w:val="en-US"/>
        </w:rPr>
        <w:t>The impact of total quality management on financial performance: Evidence from the Jordan Islamic Bank. International Journal of Business and Social Science, 6(11), pp. 65–82.</w:t>
      </w:r>
    </w:p>
    <w:p w14:paraId="1E6ECA5A" w14:textId="77777777" w:rsidR="00425935" w:rsidRPr="004D4085" w:rsidRDefault="00425935" w:rsidP="004D4085">
      <w:pPr>
        <w:jc w:val="both"/>
        <w:rPr>
          <w:rFonts w:asciiTheme="majorBidi" w:hAnsiTheme="majorBidi" w:cstheme="majorBidi"/>
          <w:sz w:val="24"/>
          <w:szCs w:val="24"/>
          <w:lang w:val="en-US"/>
        </w:rPr>
      </w:pPr>
      <w:r w:rsidRPr="004D4085">
        <w:rPr>
          <w:rFonts w:asciiTheme="majorBidi" w:hAnsiTheme="majorBidi" w:cstheme="majorBidi"/>
          <w:sz w:val="24"/>
          <w:szCs w:val="24"/>
          <w:lang w:val="en-US"/>
        </w:rPr>
        <w:t>Al-</w:t>
      </w:r>
      <w:proofErr w:type="spellStart"/>
      <w:r w:rsidRPr="004D4085">
        <w:rPr>
          <w:rFonts w:asciiTheme="majorBidi" w:hAnsiTheme="majorBidi" w:cstheme="majorBidi"/>
          <w:sz w:val="24"/>
          <w:szCs w:val="24"/>
          <w:lang w:val="en-US"/>
        </w:rPr>
        <w:t>Dhaafri</w:t>
      </w:r>
      <w:proofErr w:type="spellEnd"/>
      <w:r w:rsidRPr="004D4085">
        <w:rPr>
          <w:rFonts w:asciiTheme="majorBidi" w:hAnsiTheme="majorBidi" w:cstheme="majorBidi"/>
          <w:sz w:val="24"/>
          <w:szCs w:val="24"/>
          <w:lang w:val="en-US"/>
        </w:rPr>
        <w:t>, H. S., Al-</w:t>
      </w:r>
      <w:proofErr w:type="spellStart"/>
      <w:r w:rsidRPr="004D4085">
        <w:rPr>
          <w:rFonts w:asciiTheme="majorBidi" w:hAnsiTheme="majorBidi" w:cstheme="majorBidi"/>
          <w:sz w:val="24"/>
          <w:szCs w:val="24"/>
          <w:lang w:val="en-US"/>
        </w:rPr>
        <w:t>Swidi</w:t>
      </w:r>
      <w:proofErr w:type="spellEnd"/>
      <w:r w:rsidRPr="004D4085">
        <w:rPr>
          <w:rFonts w:asciiTheme="majorBidi" w:hAnsiTheme="majorBidi" w:cstheme="majorBidi"/>
          <w:sz w:val="24"/>
          <w:szCs w:val="24"/>
          <w:lang w:val="en-US"/>
        </w:rPr>
        <w:t>, A. K. &amp; Yusoff, R. Z., (2021). The mediating role of total quality management between leadership and organizational performance. International Journal of Quality &amp; Reliability Management, 38(2), pp. 539–565.</w:t>
      </w:r>
    </w:p>
    <w:p w14:paraId="1B55A97B" w14:textId="77777777" w:rsidR="00425935" w:rsidRPr="004D4085" w:rsidRDefault="00425935" w:rsidP="004D4085">
      <w:pPr>
        <w:jc w:val="both"/>
        <w:rPr>
          <w:rFonts w:asciiTheme="majorBidi" w:hAnsiTheme="majorBidi" w:cstheme="majorBidi"/>
          <w:sz w:val="24"/>
          <w:szCs w:val="24"/>
          <w:lang w:val="en-US"/>
        </w:rPr>
      </w:pPr>
      <w:proofErr w:type="spellStart"/>
      <w:r w:rsidRPr="004D4085">
        <w:rPr>
          <w:rFonts w:asciiTheme="majorBidi" w:hAnsiTheme="majorBidi" w:cstheme="majorBidi"/>
          <w:sz w:val="24"/>
          <w:szCs w:val="24"/>
          <w:lang w:val="en-US"/>
        </w:rPr>
        <w:t>Alharth</w:t>
      </w:r>
      <w:proofErr w:type="spellEnd"/>
      <w:r w:rsidRPr="004D4085">
        <w:rPr>
          <w:rFonts w:asciiTheme="majorBidi" w:hAnsiTheme="majorBidi" w:cstheme="majorBidi"/>
          <w:sz w:val="24"/>
          <w:szCs w:val="24"/>
          <w:lang w:val="en-US"/>
        </w:rPr>
        <w:t xml:space="preserve">, M. M., Zubaida, A. J. &amp; </w:t>
      </w:r>
      <w:proofErr w:type="spellStart"/>
      <w:r w:rsidRPr="004D4085">
        <w:rPr>
          <w:rFonts w:asciiTheme="majorBidi" w:hAnsiTheme="majorBidi" w:cstheme="majorBidi"/>
          <w:sz w:val="24"/>
          <w:szCs w:val="24"/>
          <w:lang w:val="en-US"/>
        </w:rPr>
        <w:t>Azrilah</w:t>
      </w:r>
      <w:proofErr w:type="spellEnd"/>
      <w:r w:rsidRPr="004D4085">
        <w:rPr>
          <w:rFonts w:asciiTheme="majorBidi" w:hAnsiTheme="majorBidi" w:cstheme="majorBidi"/>
          <w:sz w:val="24"/>
          <w:szCs w:val="24"/>
          <w:lang w:val="en-US"/>
        </w:rPr>
        <w:t>, A. A., (2017). Total quality management in banking sector. International Advanced Research Journal in Science, Engineering and Technology, 4(5), pp. 159–163.</w:t>
      </w:r>
    </w:p>
    <w:p w14:paraId="40538270" w14:textId="77777777" w:rsidR="00425935" w:rsidRPr="004D4085" w:rsidRDefault="00425935" w:rsidP="004D4085">
      <w:pPr>
        <w:jc w:val="both"/>
        <w:rPr>
          <w:rFonts w:asciiTheme="majorBidi" w:hAnsiTheme="majorBidi" w:cstheme="majorBidi"/>
          <w:sz w:val="24"/>
          <w:szCs w:val="24"/>
          <w:lang w:val="en-US"/>
        </w:rPr>
      </w:pPr>
      <w:r w:rsidRPr="004D4085">
        <w:rPr>
          <w:rFonts w:asciiTheme="majorBidi" w:hAnsiTheme="majorBidi" w:cstheme="majorBidi"/>
          <w:sz w:val="24"/>
          <w:szCs w:val="24"/>
          <w:lang w:val="en-US"/>
        </w:rPr>
        <w:t>Al-</w:t>
      </w:r>
      <w:proofErr w:type="spellStart"/>
      <w:r w:rsidRPr="004D4085">
        <w:rPr>
          <w:rFonts w:asciiTheme="majorBidi" w:hAnsiTheme="majorBidi" w:cstheme="majorBidi"/>
          <w:sz w:val="24"/>
          <w:szCs w:val="24"/>
          <w:lang w:val="en-US"/>
        </w:rPr>
        <w:t>Hawary</w:t>
      </w:r>
      <w:proofErr w:type="spellEnd"/>
      <w:r w:rsidRPr="004D4085">
        <w:rPr>
          <w:rFonts w:asciiTheme="majorBidi" w:hAnsiTheme="majorBidi" w:cstheme="majorBidi"/>
          <w:sz w:val="24"/>
          <w:szCs w:val="24"/>
          <w:lang w:val="en-US"/>
        </w:rPr>
        <w:t>, S. I. S. &amp; Al-</w:t>
      </w:r>
      <w:proofErr w:type="spellStart"/>
      <w:r w:rsidRPr="004D4085">
        <w:rPr>
          <w:rFonts w:asciiTheme="majorBidi" w:hAnsiTheme="majorBidi" w:cstheme="majorBidi"/>
          <w:sz w:val="24"/>
          <w:szCs w:val="24"/>
          <w:lang w:val="en-US"/>
        </w:rPr>
        <w:t>Okaily</w:t>
      </w:r>
      <w:proofErr w:type="spellEnd"/>
      <w:r w:rsidRPr="004D4085">
        <w:rPr>
          <w:rFonts w:asciiTheme="majorBidi" w:hAnsiTheme="majorBidi" w:cstheme="majorBidi"/>
          <w:sz w:val="24"/>
          <w:szCs w:val="24"/>
          <w:lang w:val="en-US"/>
        </w:rPr>
        <w:t>, A., (2024). Service quality, customer satisfaction and bank performance: Empirical evidence from developing economies. International Journal of Bank Marketing, 42(6), pp. 1021–1043.</w:t>
      </w:r>
    </w:p>
    <w:p w14:paraId="5EBFE9B6" w14:textId="77777777" w:rsidR="00425935" w:rsidRPr="004D4085" w:rsidRDefault="00425935" w:rsidP="004D4085">
      <w:pPr>
        <w:jc w:val="both"/>
        <w:rPr>
          <w:rFonts w:asciiTheme="majorBidi" w:hAnsiTheme="majorBidi" w:cstheme="majorBidi"/>
          <w:sz w:val="24"/>
          <w:szCs w:val="24"/>
          <w:lang w:val="en-US"/>
        </w:rPr>
      </w:pPr>
      <w:proofErr w:type="spellStart"/>
      <w:r w:rsidRPr="004D4085">
        <w:rPr>
          <w:rFonts w:asciiTheme="majorBidi" w:hAnsiTheme="majorBidi" w:cstheme="majorBidi"/>
          <w:sz w:val="24"/>
          <w:szCs w:val="24"/>
          <w:lang w:val="en-US"/>
        </w:rPr>
        <w:lastRenderedPageBreak/>
        <w:t>Alshurideh</w:t>
      </w:r>
      <w:proofErr w:type="spellEnd"/>
      <w:r w:rsidRPr="004D4085">
        <w:rPr>
          <w:rFonts w:asciiTheme="majorBidi" w:hAnsiTheme="majorBidi" w:cstheme="majorBidi"/>
          <w:sz w:val="24"/>
          <w:szCs w:val="24"/>
          <w:lang w:val="en-US"/>
        </w:rPr>
        <w:t>, M., Kurdi, B. &amp; Salloum, S., (2023). Digital transformation, service quality and bank performance: The mediating role of customer satisfaction. Journal of Financial Services Marketing, 28(3), pp. 312–328.</w:t>
      </w:r>
    </w:p>
    <w:p w14:paraId="0375E1F5" w14:textId="77777777" w:rsidR="00425935" w:rsidRPr="004D4085" w:rsidRDefault="00425935" w:rsidP="004D4085">
      <w:pPr>
        <w:jc w:val="both"/>
        <w:rPr>
          <w:rFonts w:asciiTheme="majorBidi" w:hAnsiTheme="majorBidi" w:cstheme="majorBidi"/>
          <w:sz w:val="24"/>
          <w:szCs w:val="24"/>
          <w:lang w:val="en-US"/>
        </w:rPr>
      </w:pPr>
      <w:r w:rsidRPr="004D4085">
        <w:rPr>
          <w:rFonts w:asciiTheme="majorBidi" w:hAnsiTheme="majorBidi" w:cstheme="majorBidi"/>
          <w:sz w:val="24"/>
          <w:szCs w:val="24"/>
          <w:lang w:val="en-US"/>
        </w:rPr>
        <w:t>Alzoubi, H. M., Ahmed, G. &amp; Al-</w:t>
      </w:r>
      <w:proofErr w:type="spellStart"/>
      <w:r w:rsidRPr="004D4085">
        <w:rPr>
          <w:rFonts w:asciiTheme="majorBidi" w:hAnsiTheme="majorBidi" w:cstheme="majorBidi"/>
          <w:sz w:val="24"/>
          <w:szCs w:val="24"/>
          <w:lang w:val="en-US"/>
        </w:rPr>
        <w:t>Gasaymeh</w:t>
      </w:r>
      <w:proofErr w:type="spellEnd"/>
      <w:r w:rsidRPr="004D4085">
        <w:rPr>
          <w:rFonts w:asciiTheme="majorBidi" w:hAnsiTheme="majorBidi" w:cstheme="majorBidi"/>
          <w:sz w:val="24"/>
          <w:szCs w:val="24"/>
          <w:lang w:val="en-US"/>
        </w:rPr>
        <w:t>, A., (2022). Service quality dimensions and financial performance in the banking sector. Journal of Financial Reporting and Accounting, 20(3), pp. 480–498.</w:t>
      </w:r>
    </w:p>
    <w:p w14:paraId="5C6A2AA0" w14:textId="77777777" w:rsidR="00425935" w:rsidRPr="004D4085" w:rsidRDefault="00425935" w:rsidP="004D4085">
      <w:pPr>
        <w:jc w:val="both"/>
        <w:rPr>
          <w:rFonts w:asciiTheme="majorBidi" w:hAnsiTheme="majorBidi" w:cstheme="majorBidi"/>
          <w:sz w:val="24"/>
          <w:szCs w:val="24"/>
          <w:lang w:val="en-US"/>
        </w:rPr>
      </w:pPr>
      <w:proofErr w:type="spellStart"/>
      <w:r w:rsidRPr="004D4085">
        <w:rPr>
          <w:rFonts w:asciiTheme="majorBidi" w:hAnsiTheme="majorBidi" w:cstheme="majorBidi"/>
          <w:sz w:val="24"/>
          <w:szCs w:val="24"/>
          <w:lang w:val="en-US"/>
        </w:rPr>
        <w:t>Antastasiadou</w:t>
      </w:r>
      <w:proofErr w:type="spellEnd"/>
      <w:r w:rsidRPr="004D4085">
        <w:rPr>
          <w:rFonts w:asciiTheme="majorBidi" w:hAnsiTheme="majorBidi" w:cstheme="majorBidi"/>
          <w:sz w:val="24"/>
          <w:szCs w:val="24"/>
          <w:lang w:val="en-US"/>
        </w:rPr>
        <w:t>, S. D., (2015). The roadmaps of total quality management in service organizations. Procedia Economics and Finance, 33, pp. 562–572.</w:t>
      </w:r>
    </w:p>
    <w:p w14:paraId="6FF225EC" w14:textId="77777777" w:rsidR="00425935" w:rsidRPr="004D4085" w:rsidRDefault="0042593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 xml:space="preserve">Antony, J., Sony, M. &amp; McDermott, O., (2022). Leadership, quality management and organizational excellence: A systematic review. </w:t>
      </w:r>
      <w:r w:rsidRPr="004D4085">
        <w:rPr>
          <w:rFonts w:asciiTheme="majorBidi" w:hAnsiTheme="majorBidi" w:cstheme="majorBidi"/>
          <w:sz w:val="24"/>
          <w:szCs w:val="24"/>
        </w:rPr>
        <w:t>The TQM Journal, 34(1), pp. 1–22.</w:t>
      </w:r>
    </w:p>
    <w:p w14:paraId="37A5BADB" w14:textId="77777777" w:rsidR="00425935" w:rsidRPr="004D4085" w:rsidRDefault="00425935" w:rsidP="004D4085">
      <w:pPr>
        <w:jc w:val="both"/>
        <w:rPr>
          <w:rFonts w:asciiTheme="majorBidi" w:hAnsiTheme="majorBidi" w:cstheme="majorBidi"/>
          <w:sz w:val="24"/>
          <w:szCs w:val="24"/>
        </w:rPr>
      </w:pPr>
      <w:r w:rsidRPr="004D4085">
        <w:rPr>
          <w:rFonts w:asciiTheme="majorBidi" w:hAnsiTheme="majorBidi" w:cstheme="majorBidi"/>
          <w:sz w:val="24"/>
          <w:szCs w:val="24"/>
        </w:rPr>
        <w:t xml:space="preserve">BANQUE CENTRALE DE MAURITANIE (BCM), (2022). Rapport annuel sur la situation économique et monétaire. </w:t>
      </w:r>
      <w:proofErr w:type="gramStart"/>
      <w:r w:rsidRPr="004D4085">
        <w:rPr>
          <w:rFonts w:asciiTheme="majorBidi" w:hAnsiTheme="majorBidi" w:cstheme="majorBidi"/>
          <w:sz w:val="24"/>
          <w:szCs w:val="24"/>
        </w:rPr>
        <w:t>Nouakchott:</w:t>
      </w:r>
      <w:proofErr w:type="gramEnd"/>
      <w:r w:rsidRPr="004D4085">
        <w:rPr>
          <w:rFonts w:asciiTheme="majorBidi" w:hAnsiTheme="majorBidi" w:cstheme="majorBidi"/>
          <w:sz w:val="24"/>
          <w:szCs w:val="24"/>
        </w:rPr>
        <w:t xml:space="preserve"> BCM.</w:t>
      </w:r>
    </w:p>
    <w:p w14:paraId="6BFE4197" w14:textId="77777777" w:rsidR="00425935" w:rsidRPr="004D4085" w:rsidRDefault="00425935" w:rsidP="004D4085">
      <w:pPr>
        <w:jc w:val="both"/>
        <w:rPr>
          <w:rFonts w:asciiTheme="majorBidi" w:hAnsiTheme="majorBidi" w:cstheme="majorBidi"/>
          <w:sz w:val="24"/>
          <w:szCs w:val="24"/>
        </w:rPr>
      </w:pPr>
      <w:r w:rsidRPr="004D4085">
        <w:rPr>
          <w:rFonts w:asciiTheme="majorBidi" w:hAnsiTheme="majorBidi" w:cstheme="majorBidi"/>
          <w:sz w:val="24"/>
          <w:szCs w:val="24"/>
        </w:rPr>
        <w:t>DIA, Abdallahi, (2019). L’évolution du système bancaire mauritanien à l’ère des réformes. Cahiers Africains d’Économie, 8(3), pp. 45–63.</w:t>
      </w:r>
    </w:p>
    <w:p w14:paraId="14273C7D" w14:textId="77777777" w:rsidR="00425935" w:rsidRPr="004D4085" w:rsidRDefault="00425935" w:rsidP="004D4085">
      <w:pPr>
        <w:jc w:val="both"/>
        <w:rPr>
          <w:rFonts w:asciiTheme="majorBidi" w:hAnsiTheme="majorBidi" w:cstheme="majorBidi"/>
          <w:sz w:val="24"/>
          <w:szCs w:val="24"/>
          <w:lang w:val="en-US"/>
        </w:rPr>
      </w:pPr>
      <w:r w:rsidRPr="004D4085">
        <w:rPr>
          <w:rFonts w:asciiTheme="majorBidi" w:hAnsiTheme="majorBidi" w:cstheme="majorBidi"/>
          <w:sz w:val="24"/>
          <w:szCs w:val="24"/>
        </w:rPr>
        <w:t xml:space="preserve">Fonds Monétaire International (FMI), (2023). </w:t>
      </w:r>
      <w:proofErr w:type="spellStart"/>
      <w:r w:rsidRPr="004D4085">
        <w:rPr>
          <w:rFonts w:asciiTheme="majorBidi" w:hAnsiTheme="majorBidi" w:cstheme="majorBidi"/>
          <w:sz w:val="24"/>
          <w:szCs w:val="24"/>
        </w:rPr>
        <w:t>Mauritania</w:t>
      </w:r>
      <w:proofErr w:type="spellEnd"/>
      <w:r w:rsidRPr="004D4085">
        <w:rPr>
          <w:rFonts w:asciiTheme="majorBidi" w:hAnsiTheme="majorBidi" w:cstheme="majorBidi"/>
          <w:sz w:val="24"/>
          <w:szCs w:val="24"/>
        </w:rPr>
        <w:t xml:space="preserve"> – Financial </w:t>
      </w:r>
      <w:proofErr w:type="spellStart"/>
      <w:r w:rsidRPr="004D4085">
        <w:rPr>
          <w:rFonts w:asciiTheme="majorBidi" w:hAnsiTheme="majorBidi" w:cstheme="majorBidi"/>
          <w:sz w:val="24"/>
          <w:szCs w:val="24"/>
        </w:rPr>
        <w:t>Stability</w:t>
      </w:r>
      <w:proofErr w:type="spellEnd"/>
      <w:r w:rsidRPr="004D4085">
        <w:rPr>
          <w:rFonts w:asciiTheme="majorBidi" w:hAnsiTheme="majorBidi" w:cstheme="majorBidi"/>
          <w:sz w:val="24"/>
          <w:szCs w:val="24"/>
        </w:rPr>
        <w:t xml:space="preserve"> Report. </w:t>
      </w:r>
      <w:r w:rsidRPr="004D4085">
        <w:rPr>
          <w:rFonts w:asciiTheme="majorBidi" w:hAnsiTheme="majorBidi" w:cstheme="majorBidi"/>
          <w:sz w:val="24"/>
          <w:szCs w:val="24"/>
          <w:lang w:val="en-US"/>
        </w:rPr>
        <w:t>Washington, DC: IMF.</w:t>
      </w:r>
    </w:p>
    <w:p w14:paraId="404839FD" w14:textId="77777777" w:rsidR="00425935" w:rsidRPr="004D4085" w:rsidRDefault="0042593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 xml:space="preserve">Fotopoulos, C. &amp; Psomas, E., (2021). Core quality management practices and performance in service organizations. </w:t>
      </w:r>
      <w:proofErr w:type="gramStart"/>
      <w:r w:rsidRPr="004D4085">
        <w:rPr>
          <w:rFonts w:asciiTheme="majorBidi" w:hAnsiTheme="majorBidi" w:cstheme="majorBidi"/>
          <w:sz w:val="24"/>
          <w:szCs w:val="24"/>
        </w:rPr>
        <w:t>Benchmarking:</w:t>
      </w:r>
      <w:proofErr w:type="gramEnd"/>
      <w:r w:rsidRPr="004D4085">
        <w:rPr>
          <w:rFonts w:asciiTheme="majorBidi" w:hAnsiTheme="majorBidi" w:cstheme="majorBidi"/>
          <w:sz w:val="24"/>
          <w:szCs w:val="24"/>
        </w:rPr>
        <w:t xml:space="preserve"> An International Journal, 28(2), pp. 381–405.</w:t>
      </w:r>
    </w:p>
    <w:p w14:paraId="2DE569B1" w14:textId="77777777" w:rsidR="00425935" w:rsidRPr="004D4085" w:rsidRDefault="00425935" w:rsidP="004D4085">
      <w:pPr>
        <w:jc w:val="both"/>
        <w:rPr>
          <w:rFonts w:asciiTheme="majorBidi" w:hAnsiTheme="majorBidi" w:cstheme="majorBidi"/>
          <w:sz w:val="24"/>
          <w:szCs w:val="24"/>
          <w:lang w:val="en-US"/>
        </w:rPr>
      </w:pPr>
      <w:proofErr w:type="spellStart"/>
      <w:r w:rsidRPr="004D4085">
        <w:rPr>
          <w:rFonts w:asciiTheme="majorBidi" w:hAnsiTheme="majorBidi" w:cstheme="majorBidi"/>
          <w:sz w:val="24"/>
          <w:szCs w:val="24"/>
          <w:lang w:val="en-US"/>
        </w:rPr>
        <w:t>Ijara</w:t>
      </w:r>
      <w:proofErr w:type="spellEnd"/>
      <w:r w:rsidRPr="004D4085">
        <w:rPr>
          <w:rFonts w:asciiTheme="majorBidi" w:hAnsiTheme="majorBidi" w:cstheme="majorBidi"/>
          <w:sz w:val="24"/>
          <w:szCs w:val="24"/>
          <w:lang w:val="en-US"/>
        </w:rPr>
        <w:t>, T. M., (2020). Service quality and financial performance of banks: A meta-analysis. International Journal of Scientific and Research Publications, 10(5), pp. 349–359.</w:t>
      </w:r>
    </w:p>
    <w:p w14:paraId="5514696A" w14:textId="77777777" w:rsidR="00425935" w:rsidRPr="004D4085" w:rsidRDefault="00425935" w:rsidP="004D4085">
      <w:pPr>
        <w:jc w:val="both"/>
        <w:rPr>
          <w:rFonts w:asciiTheme="majorBidi" w:hAnsiTheme="majorBidi" w:cstheme="majorBidi"/>
          <w:sz w:val="24"/>
          <w:szCs w:val="24"/>
          <w:lang w:val="en-US"/>
        </w:rPr>
      </w:pPr>
      <w:proofErr w:type="spellStart"/>
      <w:r w:rsidRPr="004D4085">
        <w:rPr>
          <w:rFonts w:asciiTheme="majorBidi" w:hAnsiTheme="majorBidi" w:cstheme="majorBidi"/>
          <w:sz w:val="24"/>
          <w:szCs w:val="24"/>
          <w:lang w:val="en-US"/>
        </w:rPr>
        <w:t>Iberahim</w:t>
      </w:r>
      <w:proofErr w:type="spellEnd"/>
      <w:r w:rsidRPr="004D4085">
        <w:rPr>
          <w:rFonts w:asciiTheme="majorBidi" w:hAnsiTheme="majorBidi" w:cstheme="majorBidi"/>
          <w:sz w:val="24"/>
          <w:szCs w:val="24"/>
          <w:lang w:val="en-US"/>
        </w:rPr>
        <w:t>, M. T. M., (2016). Customer satisfaction on reliability and responsiveness of self-service technology for retail banking services. Procedia Economics and Finance, 37, pp. 13–20.</w:t>
      </w:r>
    </w:p>
    <w:p w14:paraId="0B1CF79B" w14:textId="77777777" w:rsidR="00425935" w:rsidRPr="004D4085" w:rsidRDefault="0042593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t xml:space="preserve">Jeevan Jyoti &amp; Sharma, J. S., (2017). Impact of total quality services on financial performance: The role of service-profit chain. </w:t>
      </w:r>
      <w:r w:rsidRPr="004D4085">
        <w:rPr>
          <w:rFonts w:asciiTheme="majorBidi" w:hAnsiTheme="majorBidi" w:cstheme="majorBidi"/>
          <w:sz w:val="24"/>
          <w:szCs w:val="24"/>
        </w:rPr>
        <w:t xml:space="preserve">Total </w:t>
      </w:r>
      <w:proofErr w:type="spellStart"/>
      <w:r w:rsidRPr="004D4085">
        <w:rPr>
          <w:rFonts w:asciiTheme="majorBidi" w:hAnsiTheme="majorBidi" w:cstheme="majorBidi"/>
          <w:sz w:val="24"/>
          <w:szCs w:val="24"/>
        </w:rPr>
        <w:t>Quality</w:t>
      </w:r>
      <w:proofErr w:type="spellEnd"/>
      <w:r w:rsidRPr="004D4085">
        <w:rPr>
          <w:rFonts w:asciiTheme="majorBidi" w:hAnsiTheme="majorBidi" w:cstheme="majorBidi"/>
          <w:sz w:val="24"/>
          <w:szCs w:val="24"/>
        </w:rPr>
        <w:t xml:space="preserve"> Management &amp; Business Excellence, 28(7–8), pp. 860–876.</w:t>
      </w:r>
    </w:p>
    <w:p w14:paraId="71539E97" w14:textId="77777777" w:rsidR="00425935" w:rsidRPr="004D4085" w:rsidRDefault="00425935" w:rsidP="004D4085">
      <w:pPr>
        <w:jc w:val="both"/>
        <w:rPr>
          <w:rFonts w:asciiTheme="majorBidi" w:hAnsiTheme="majorBidi" w:cstheme="majorBidi"/>
          <w:sz w:val="24"/>
          <w:szCs w:val="24"/>
          <w:lang w:val="en-US"/>
        </w:rPr>
      </w:pPr>
      <w:r w:rsidRPr="004D4085">
        <w:rPr>
          <w:rFonts w:asciiTheme="majorBidi" w:hAnsiTheme="majorBidi" w:cstheme="majorBidi"/>
          <w:sz w:val="24"/>
          <w:szCs w:val="24"/>
        </w:rPr>
        <w:t xml:space="preserve">MOHAMED, Sidi, (2021). La performance bancaire en </w:t>
      </w:r>
      <w:proofErr w:type="gramStart"/>
      <w:r w:rsidRPr="004D4085">
        <w:rPr>
          <w:rFonts w:asciiTheme="majorBidi" w:hAnsiTheme="majorBidi" w:cstheme="majorBidi"/>
          <w:sz w:val="24"/>
          <w:szCs w:val="24"/>
        </w:rPr>
        <w:t>Mauritanie:</w:t>
      </w:r>
      <w:proofErr w:type="gramEnd"/>
      <w:r w:rsidRPr="004D4085">
        <w:rPr>
          <w:rFonts w:asciiTheme="majorBidi" w:hAnsiTheme="majorBidi" w:cstheme="majorBidi"/>
          <w:sz w:val="24"/>
          <w:szCs w:val="24"/>
        </w:rPr>
        <w:t xml:space="preserve"> Enjeux et perspectives. </w:t>
      </w:r>
      <w:r w:rsidRPr="004D4085">
        <w:rPr>
          <w:rFonts w:asciiTheme="majorBidi" w:hAnsiTheme="majorBidi" w:cstheme="majorBidi"/>
          <w:sz w:val="24"/>
          <w:szCs w:val="24"/>
          <w:lang w:val="en-US"/>
        </w:rPr>
        <w:t>Revue des Sciences de Gestion, 15(2), pp. 88–105.</w:t>
      </w:r>
    </w:p>
    <w:p w14:paraId="2FF80A48" w14:textId="77777777" w:rsidR="00425935" w:rsidRPr="004D4085" w:rsidRDefault="00425935" w:rsidP="004D4085">
      <w:pPr>
        <w:jc w:val="both"/>
        <w:rPr>
          <w:rFonts w:asciiTheme="majorBidi" w:hAnsiTheme="majorBidi" w:cstheme="majorBidi"/>
          <w:sz w:val="24"/>
          <w:szCs w:val="24"/>
          <w:lang w:val="en-US"/>
        </w:rPr>
      </w:pPr>
      <w:r w:rsidRPr="004D4085">
        <w:rPr>
          <w:rFonts w:asciiTheme="majorBidi" w:hAnsiTheme="majorBidi" w:cstheme="majorBidi"/>
          <w:sz w:val="24"/>
          <w:szCs w:val="24"/>
          <w:lang w:val="en-US"/>
        </w:rPr>
        <w:t>Nguyen, T. H., (2021). The influence of total quality management on customer satisfaction and loyalty in banking. Journal of Asian Finance, Economics and Business, 8(2), pp. 689–699.</w:t>
      </w:r>
    </w:p>
    <w:p w14:paraId="59AF36B5" w14:textId="77777777" w:rsidR="00425935" w:rsidRPr="004D4085" w:rsidRDefault="00425935" w:rsidP="004D4085">
      <w:pPr>
        <w:jc w:val="both"/>
        <w:rPr>
          <w:rFonts w:asciiTheme="majorBidi" w:hAnsiTheme="majorBidi" w:cstheme="majorBidi"/>
          <w:sz w:val="24"/>
          <w:szCs w:val="24"/>
          <w:lang w:val="en-US"/>
        </w:rPr>
      </w:pPr>
      <w:r w:rsidRPr="004D4085">
        <w:rPr>
          <w:rFonts w:asciiTheme="majorBidi" w:hAnsiTheme="majorBidi" w:cstheme="majorBidi"/>
          <w:sz w:val="24"/>
          <w:szCs w:val="24"/>
          <w:lang w:val="en-US"/>
        </w:rPr>
        <w:t>Oakland, J. S. &amp; Tanner, S., (2020). Successful change management through total quality management. Total Quality Management &amp; Business Excellence, 31(7–8), pp. 820–836.</w:t>
      </w:r>
    </w:p>
    <w:p w14:paraId="31D2B3B1" w14:textId="77777777" w:rsidR="00425935" w:rsidRPr="004D4085" w:rsidRDefault="00425935" w:rsidP="004D4085">
      <w:pPr>
        <w:jc w:val="both"/>
        <w:rPr>
          <w:rFonts w:asciiTheme="majorBidi" w:hAnsiTheme="majorBidi" w:cstheme="majorBidi"/>
          <w:sz w:val="24"/>
          <w:szCs w:val="24"/>
          <w:lang w:val="en-US"/>
        </w:rPr>
      </w:pPr>
      <w:proofErr w:type="spellStart"/>
      <w:r w:rsidRPr="004D4085">
        <w:rPr>
          <w:rFonts w:asciiTheme="majorBidi" w:hAnsiTheme="majorBidi" w:cstheme="majorBidi"/>
          <w:sz w:val="24"/>
          <w:szCs w:val="24"/>
          <w:lang w:val="en-US"/>
        </w:rPr>
        <w:t>Organisation</w:t>
      </w:r>
      <w:proofErr w:type="spellEnd"/>
      <w:r w:rsidRPr="004D4085">
        <w:rPr>
          <w:rFonts w:asciiTheme="majorBidi" w:hAnsiTheme="majorBidi" w:cstheme="majorBidi"/>
          <w:sz w:val="24"/>
          <w:szCs w:val="24"/>
          <w:lang w:val="en-US"/>
        </w:rPr>
        <w:t xml:space="preserve"> for Economic Co-operation and Development (OECD), (2023). Economic Outlook: Mauritania. Paris: OECD Publishing.</w:t>
      </w:r>
    </w:p>
    <w:p w14:paraId="7B446364" w14:textId="77777777" w:rsidR="00425935" w:rsidRPr="004D4085" w:rsidRDefault="00425935" w:rsidP="004D4085">
      <w:pPr>
        <w:jc w:val="both"/>
        <w:rPr>
          <w:rFonts w:asciiTheme="majorBidi" w:hAnsiTheme="majorBidi" w:cstheme="majorBidi"/>
          <w:sz w:val="24"/>
          <w:szCs w:val="24"/>
          <w:lang w:val="en-US"/>
        </w:rPr>
      </w:pPr>
      <w:r w:rsidRPr="004D4085">
        <w:rPr>
          <w:rFonts w:asciiTheme="majorBidi" w:hAnsiTheme="majorBidi" w:cstheme="majorBidi"/>
          <w:sz w:val="24"/>
          <w:szCs w:val="24"/>
          <w:lang w:val="en-US"/>
        </w:rPr>
        <w:t>Parasuraman, A., Zeithaml, V. A. &amp; Berry, L. L., (2018). SERVQUAL: A multiple-item scale for measuring consumer perceptions of service quality. Journal of Retailing, 64(1), pp. 12–40.</w:t>
      </w:r>
    </w:p>
    <w:p w14:paraId="09A5E838" w14:textId="77777777" w:rsidR="00425935" w:rsidRPr="004D4085" w:rsidRDefault="00425935" w:rsidP="004D4085">
      <w:pPr>
        <w:jc w:val="both"/>
        <w:rPr>
          <w:rFonts w:asciiTheme="majorBidi" w:hAnsiTheme="majorBidi" w:cstheme="majorBidi"/>
          <w:sz w:val="24"/>
          <w:szCs w:val="24"/>
        </w:rPr>
      </w:pPr>
      <w:r w:rsidRPr="004D4085">
        <w:rPr>
          <w:rFonts w:asciiTheme="majorBidi" w:hAnsiTheme="majorBidi" w:cstheme="majorBidi"/>
          <w:sz w:val="24"/>
          <w:szCs w:val="24"/>
          <w:lang w:val="en-US"/>
        </w:rPr>
        <w:lastRenderedPageBreak/>
        <w:t xml:space="preserve">Psomas, E. &amp; Antony, J., (2021). Total quality management elements and results in service organizations: The role of leadership. </w:t>
      </w:r>
      <w:r w:rsidRPr="004D4085">
        <w:rPr>
          <w:rFonts w:asciiTheme="majorBidi" w:hAnsiTheme="majorBidi" w:cstheme="majorBidi"/>
          <w:sz w:val="24"/>
          <w:szCs w:val="24"/>
        </w:rPr>
        <w:t>The TQM Journal, 33(2), pp. 235–255.</w:t>
      </w:r>
    </w:p>
    <w:p w14:paraId="3CCA6D9B" w14:textId="77777777" w:rsidR="00425935" w:rsidRPr="004D4085" w:rsidRDefault="00425935" w:rsidP="004D4085">
      <w:pPr>
        <w:jc w:val="both"/>
        <w:rPr>
          <w:rFonts w:asciiTheme="majorBidi" w:hAnsiTheme="majorBidi" w:cstheme="majorBidi"/>
          <w:sz w:val="24"/>
          <w:szCs w:val="24"/>
        </w:rPr>
      </w:pPr>
      <w:proofErr w:type="spellStart"/>
      <w:r w:rsidRPr="004D4085">
        <w:rPr>
          <w:rFonts w:asciiTheme="majorBidi" w:hAnsiTheme="majorBidi" w:cstheme="majorBidi"/>
          <w:sz w:val="24"/>
          <w:szCs w:val="24"/>
        </w:rPr>
        <w:t>Tchouassi</w:t>
      </w:r>
      <w:proofErr w:type="spellEnd"/>
      <w:r w:rsidRPr="004D4085">
        <w:rPr>
          <w:rFonts w:asciiTheme="majorBidi" w:hAnsiTheme="majorBidi" w:cstheme="majorBidi"/>
          <w:sz w:val="24"/>
          <w:szCs w:val="24"/>
        </w:rPr>
        <w:t>, G., (2020). Performance bancaire et qualité de service en Afrique subsaharienne. Revue Africaine d’Économie et de Finance, 11, pp. 101–125.</w:t>
      </w:r>
    </w:p>
    <w:p w14:paraId="3CDBB52A" w14:textId="77777777" w:rsidR="00425935" w:rsidRPr="004D4085" w:rsidRDefault="00425935" w:rsidP="004D4085">
      <w:pPr>
        <w:jc w:val="both"/>
        <w:rPr>
          <w:rFonts w:asciiTheme="majorBidi" w:hAnsiTheme="majorBidi" w:cstheme="majorBidi"/>
          <w:sz w:val="24"/>
          <w:szCs w:val="24"/>
          <w:lang w:val="en-US"/>
        </w:rPr>
      </w:pPr>
      <w:r w:rsidRPr="004D4085">
        <w:rPr>
          <w:rFonts w:asciiTheme="majorBidi" w:hAnsiTheme="majorBidi" w:cstheme="majorBidi"/>
          <w:sz w:val="24"/>
          <w:szCs w:val="24"/>
        </w:rPr>
        <w:t>Zumot, S. M., Al-</w:t>
      </w:r>
      <w:proofErr w:type="spellStart"/>
      <w:r w:rsidRPr="004D4085">
        <w:rPr>
          <w:rFonts w:asciiTheme="majorBidi" w:hAnsiTheme="majorBidi" w:cstheme="majorBidi"/>
          <w:sz w:val="24"/>
          <w:szCs w:val="24"/>
        </w:rPr>
        <w:t>Dmour</w:t>
      </w:r>
      <w:proofErr w:type="spellEnd"/>
      <w:r w:rsidRPr="004D4085">
        <w:rPr>
          <w:rFonts w:asciiTheme="majorBidi" w:hAnsiTheme="majorBidi" w:cstheme="majorBidi"/>
          <w:sz w:val="24"/>
          <w:szCs w:val="24"/>
        </w:rPr>
        <w:t xml:space="preserve">, R. &amp; </w:t>
      </w:r>
      <w:proofErr w:type="spellStart"/>
      <w:r w:rsidRPr="004D4085">
        <w:rPr>
          <w:rFonts w:asciiTheme="majorBidi" w:hAnsiTheme="majorBidi" w:cstheme="majorBidi"/>
          <w:sz w:val="24"/>
          <w:szCs w:val="24"/>
        </w:rPr>
        <w:t>Alshurideh</w:t>
      </w:r>
      <w:proofErr w:type="spellEnd"/>
      <w:r w:rsidRPr="004D4085">
        <w:rPr>
          <w:rFonts w:asciiTheme="majorBidi" w:hAnsiTheme="majorBidi" w:cstheme="majorBidi"/>
          <w:sz w:val="24"/>
          <w:szCs w:val="24"/>
        </w:rPr>
        <w:t xml:space="preserve">, M., (2021). </w:t>
      </w:r>
      <w:r w:rsidRPr="004D4085">
        <w:rPr>
          <w:rFonts w:asciiTheme="majorBidi" w:hAnsiTheme="majorBidi" w:cstheme="majorBidi"/>
          <w:sz w:val="24"/>
          <w:szCs w:val="24"/>
          <w:lang w:val="en-US"/>
        </w:rPr>
        <w:t>The effect of total quality management on financial performance: The moderating role of organizational culture. Accounting, 7(4), pp. 821–834.</w:t>
      </w:r>
    </w:p>
    <w:p w14:paraId="53C1EEA3" w14:textId="77777777" w:rsidR="00425935" w:rsidRPr="004D4085" w:rsidRDefault="00425935" w:rsidP="004D4085">
      <w:pPr>
        <w:jc w:val="both"/>
        <w:rPr>
          <w:rFonts w:asciiTheme="majorBidi" w:hAnsiTheme="majorBidi" w:cstheme="majorBidi"/>
          <w:sz w:val="24"/>
          <w:szCs w:val="24"/>
          <w:lang w:val="en-US"/>
        </w:rPr>
      </w:pPr>
      <w:r w:rsidRPr="004D4085">
        <w:rPr>
          <w:rFonts w:asciiTheme="majorBidi" w:hAnsiTheme="majorBidi" w:cstheme="majorBidi"/>
          <w:sz w:val="24"/>
          <w:szCs w:val="24"/>
          <w:lang w:val="en-US"/>
        </w:rPr>
        <w:t>ISO, (2015). ISO 9001:2015 – Quality management systems – Requirements. Geneva: International Organization for Standardization.</w:t>
      </w:r>
    </w:p>
    <w:p w14:paraId="25A93B1C" w14:textId="77777777" w:rsidR="004C0DEC" w:rsidRPr="004D4085" w:rsidRDefault="004C0DEC" w:rsidP="004D4085">
      <w:pPr>
        <w:jc w:val="both"/>
        <w:rPr>
          <w:rFonts w:asciiTheme="majorBidi" w:hAnsiTheme="majorBidi" w:cstheme="majorBidi"/>
          <w:sz w:val="24"/>
          <w:szCs w:val="24"/>
          <w:rtl/>
          <w:lang w:val="en-US"/>
        </w:rPr>
      </w:pPr>
    </w:p>
    <w:sectPr w:rsidR="004C0DEC" w:rsidRPr="004D4085" w:rsidSect="006B785B">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A450F" w14:textId="77777777" w:rsidR="001C2BA9" w:rsidRDefault="001C2BA9" w:rsidP="0007083D">
      <w:pPr>
        <w:spacing w:after="0" w:line="240" w:lineRule="auto"/>
      </w:pPr>
      <w:r>
        <w:separator/>
      </w:r>
    </w:p>
  </w:endnote>
  <w:endnote w:type="continuationSeparator" w:id="0">
    <w:p w14:paraId="37AF0956" w14:textId="77777777" w:rsidR="001C2BA9" w:rsidRDefault="001C2BA9" w:rsidP="00070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FEA0C" w14:textId="77777777" w:rsidR="001C2BA9" w:rsidRDefault="001C2BA9" w:rsidP="0007083D">
      <w:pPr>
        <w:spacing w:after="0" w:line="240" w:lineRule="auto"/>
      </w:pPr>
      <w:r>
        <w:separator/>
      </w:r>
    </w:p>
  </w:footnote>
  <w:footnote w:type="continuationSeparator" w:id="0">
    <w:p w14:paraId="2E5AF76B" w14:textId="77777777" w:rsidR="001C2BA9" w:rsidRDefault="001C2BA9" w:rsidP="00070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9C420" w14:textId="4A12A9D4" w:rsidR="002F613D" w:rsidRPr="002F613D" w:rsidRDefault="002F613D" w:rsidP="002F613D">
    <w:pPr>
      <w:jc w:val="center"/>
      <w:rPr>
        <w:rFonts w:asciiTheme="majorBidi" w:hAnsiTheme="majorBidi" w:cstheme="majorBidi"/>
        <w:b/>
        <w:bCs/>
        <w:sz w:val="24"/>
        <w:szCs w:val="24"/>
        <w:rtl/>
      </w:rPr>
    </w:pPr>
    <w:r w:rsidRPr="002F613D">
      <w:rPr>
        <w:rFonts w:asciiTheme="majorBidi" w:hAnsiTheme="majorBidi" w:cstheme="majorBidi"/>
        <w:b/>
        <w:bCs/>
        <w:sz w:val="24"/>
        <w:szCs w:val="24"/>
      </w:rPr>
      <w:t>Le rôle médiateur de la qualité de service dans la relation entre la gestion de la qualité totale (TQM) et la performance bancaire : étude empirique du secteur bancaire mauritanien</w:t>
    </w:r>
    <w:r w:rsidRPr="002F613D">
      <w:rPr>
        <w:rFonts w:asciiTheme="majorBidi" w:hAnsiTheme="majorBidi" w:cstheme="majorBidi"/>
        <w:b/>
        <w:bCs/>
        <w:sz w:val="24"/>
        <w:szCs w:val="24"/>
      </w:rPr>
      <w:t>.</w:t>
    </w:r>
  </w:p>
  <w:p w14:paraId="4EAB79FB" w14:textId="490A08CD" w:rsidR="0007083D" w:rsidRDefault="002F613D">
    <w:pPr>
      <w:pStyle w:val="En-tte"/>
    </w:pPr>
    <w:r w:rsidRPr="002F613D">
      <w:rPr>
        <w:rFonts w:asciiTheme="majorBidi" w:hAnsiTheme="majorBidi" w:cstheme="majorBidi"/>
        <w:b/>
        <w:bCs/>
        <w:noProof/>
        <w:sz w:val="24"/>
        <w:szCs w:val="24"/>
      </w:rPr>
      <mc:AlternateContent>
        <mc:Choice Requires="wps">
          <w:drawing>
            <wp:anchor distT="0" distB="0" distL="114300" distR="114300" simplePos="0" relativeHeight="251659264" behindDoc="1" locked="0" layoutInCell="1" allowOverlap="1" wp14:anchorId="5C3B188A" wp14:editId="210071B2">
              <wp:simplePos x="0" y="0"/>
              <wp:positionH relativeFrom="margin">
                <wp:align>center</wp:align>
              </wp:positionH>
              <wp:positionV relativeFrom="paragraph">
                <wp:posOffset>34388</wp:posOffset>
              </wp:positionV>
              <wp:extent cx="8304042" cy="89096"/>
              <wp:effectExtent l="0" t="0" r="0" b="6350"/>
              <wp:wrapNone/>
              <wp:docPr id="221182059" name="Signe Moins 9"/>
              <wp:cNvGraphicFramePr/>
              <a:graphic xmlns:a="http://schemas.openxmlformats.org/drawingml/2006/main">
                <a:graphicData uri="http://schemas.microsoft.com/office/word/2010/wordprocessingShape">
                  <wps:wsp>
                    <wps:cNvSpPr/>
                    <wps:spPr>
                      <a:xfrm>
                        <a:off x="0" y="0"/>
                        <a:ext cx="8304042" cy="89096"/>
                      </a:xfrm>
                      <a:prstGeom prst="mathMinus">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6A91A" id="Signe Moins 9" o:spid="_x0000_s1026" style="position:absolute;margin-left:0;margin-top:2.7pt;width:653.85pt;height:7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8304042,89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OeXQIAABcFAAAOAAAAZHJzL2Uyb0RvYy54bWysVFFv2yAQfp+0/4B4X2xnaZdGcaqoVadJ&#10;WRutnfpMMNRImGNA4mS/fgd2nKirNmnaCxzc3cfx8R3z632jyU44r8CUtBjllAjDoVLmpaTfn+4+&#10;TCnxgZmKaTCipAfh6fXi/bt5a2diDDXoSjiCIMbPWlvSOgQ7yzLPa9EwPwIrDDoluIYFXLqXrHKs&#10;RfRGZ+M8v8xacJV1wIX3uHvbOeki4UspeHiQ0otAdEmxtpBGl8ZNHLPFnM1eHLO14n0Z7B+qaJgy&#10;eOgAdcsCI1unfoNqFHfgQYYRhyYDKRUX6Q54myJ/dZvHmlmR7oLkeDvQ5P8fLL/fPdq1Qxpa62ce&#10;zXiLvXRNnLE+sk9kHQayxD4QjpvTj/kkn4wp4eibXuVXl5HM7JRsnQ+fBTQkGiXFB6y/KrP1iSe2&#10;W/nQxR/jMPlUQ7LCQYtYhjbfhCSqwlPHKTvJQ9xoR3YMH5ZxLkzoXTWrRLddXOR5emEsashIJSbA&#10;iCyV1gN28SfsrtY+PqaKpK4hOf978pCRTgYThuRGGXBvAehQ9KzKLv5IUkdNZGkD1WHtiINO297y&#10;O4WEr5gPa+ZQzCh7bNDwgIPU0JYUeouSGtzPt/ZjPGoMvZS02Bwl9T+2zAlK9BeD6rsqJpPYTWkx&#10;ufg0xoU792zOPWbb3AA+U4FfgeXJjPFBH03poHnGPl7GU9HFDMezS8qDOy5uQte0+BNwsVymMOwg&#10;y8LKPFoewSOrUUtP+2fmbK+6gHK9h2Mjsdkr3XWxMdPAchtAqiTKE68939h9STj9TxHb+3ydok7/&#10;2eIXAAAA//8DAFBLAwQUAAYACAAAACEABk0eudoAAAAGAQAADwAAAGRycy9kb3ducmV2LnhtbEyP&#10;wU7DMBBE70j8g7VIvVEHCC0JcSqE1FO5kCLOm3gbR8TryHbb9O9xT3Cb1axm3lSb2Y7iRD4MjhU8&#10;LDMQxJ3TA/cKvvbb+xcQISJrHB2TggsF2NS3NxWW2p35k05N7EUK4VCiAhPjVEoZOkMWw9JNxMk7&#10;OG8xptP3Uns8p3A7yscsW0mLA6cGgxO9G+p+mqNNvcV+d/Cevk1TbPMdroqPttdKLe7mt1cQkeb4&#10;9wxX/IQOdWJq3ZF1EKOCNCQqeM5BXM2nbL0G0SZV5CDrSv7Hr38BAAD//wMAUEsBAi0AFAAGAAgA&#10;AAAhALaDOJL+AAAA4QEAABMAAAAAAAAAAAAAAAAAAAAAAFtDb250ZW50X1R5cGVzXS54bWxQSwEC&#10;LQAUAAYACAAAACEAOP0h/9YAAACUAQAACwAAAAAAAAAAAAAAAAAvAQAAX3JlbHMvLnJlbHNQSwEC&#10;LQAUAAYACAAAACEADGZTnl0CAAAXBQAADgAAAAAAAAAAAAAAAAAuAgAAZHJzL2Uyb0RvYy54bWxQ&#10;SwECLQAUAAYACAAAACEABk0eudoAAAAGAQAADwAAAAAAAAAAAAAAAAC3BAAAZHJzL2Rvd25yZXYu&#10;eG1sUEsFBgAAAAAEAAQA8wAAAL4FAAAAAA==&#10;" path="m1100701,34070r6102640,l7203341,55026r-6102640,l1100701,34070xe" fillcolor="#ed7d31 [3205]" strokecolor="#261103 [485]" strokeweight="1pt">
              <v:stroke joinstyle="miter"/>
              <v:path arrowok="t" o:connecttype="custom" o:connectlocs="1100701,34070;7203341,34070;7203341,55026;1100701,55026;1100701,34070" o:connectangles="0,0,0,0,0"/>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540F0" w14:textId="7404CC8E" w:rsidR="006B785B" w:rsidRDefault="006B785B" w:rsidP="006B785B">
    <w:pPr>
      <w:jc w:val="center"/>
      <w:rPr>
        <w:rFonts w:asciiTheme="majorBidi" w:hAnsiTheme="majorBidi" w:cstheme="majorBidi"/>
        <w:b/>
        <w:bCs/>
        <w:sz w:val="24"/>
        <w:szCs w:val="24"/>
      </w:rPr>
    </w:pPr>
    <w:r w:rsidRPr="002F613D">
      <w:rPr>
        <w:rFonts w:asciiTheme="majorBidi" w:hAnsiTheme="majorBidi" w:cstheme="majorBidi"/>
        <w:b/>
        <w:bCs/>
        <w:noProof/>
        <w:sz w:val="24"/>
        <w:szCs w:val="24"/>
      </w:rPr>
      <mc:AlternateContent>
        <mc:Choice Requires="wps">
          <w:drawing>
            <wp:anchor distT="0" distB="0" distL="114300" distR="114300" simplePos="0" relativeHeight="251661312" behindDoc="1" locked="0" layoutInCell="1" allowOverlap="1" wp14:anchorId="64C301C7" wp14:editId="5FF6E9F3">
              <wp:simplePos x="0" y="0"/>
              <wp:positionH relativeFrom="margin">
                <wp:align>center</wp:align>
              </wp:positionH>
              <wp:positionV relativeFrom="paragraph">
                <wp:posOffset>116596</wp:posOffset>
              </wp:positionV>
              <wp:extent cx="8304042" cy="89096"/>
              <wp:effectExtent l="0" t="0" r="0" b="6350"/>
              <wp:wrapNone/>
              <wp:docPr id="1020089314" name="Signe Moins 9"/>
              <wp:cNvGraphicFramePr/>
              <a:graphic xmlns:a="http://schemas.openxmlformats.org/drawingml/2006/main">
                <a:graphicData uri="http://schemas.microsoft.com/office/word/2010/wordprocessingShape">
                  <wps:wsp>
                    <wps:cNvSpPr/>
                    <wps:spPr>
                      <a:xfrm>
                        <a:off x="0" y="0"/>
                        <a:ext cx="8304042" cy="89096"/>
                      </a:xfrm>
                      <a:prstGeom prst="mathMinus">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46FD9" id="Signe Moins 9" o:spid="_x0000_s1026" style="position:absolute;margin-left:0;margin-top:9.2pt;width:653.85pt;height:7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8304042,89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OeXQIAABcFAAAOAAAAZHJzL2Uyb0RvYy54bWysVFFv2yAQfp+0/4B4X2xnaZdGcaqoVadJ&#10;WRutnfpMMNRImGNA4mS/fgd2nKirNmnaCxzc3cfx8R3z632jyU44r8CUtBjllAjDoVLmpaTfn+4+&#10;TCnxgZmKaTCipAfh6fXi/bt5a2diDDXoSjiCIMbPWlvSOgQ7yzLPa9EwPwIrDDoluIYFXLqXrHKs&#10;RfRGZ+M8v8xacJV1wIX3uHvbOeki4UspeHiQ0otAdEmxtpBGl8ZNHLPFnM1eHLO14n0Z7B+qaJgy&#10;eOgAdcsCI1unfoNqFHfgQYYRhyYDKRUX6Q54myJ/dZvHmlmR7oLkeDvQ5P8fLL/fPdq1Qxpa62ce&#10;zXiLvXRNnLE+sk9kHQayxD4QjpvTj/kkn4wp4eibXuVXl5HM7JRsnQ+fBTQkGiXFB6y/KrP1iSe2&#10;W/nQxR/jMPlUQ7LCQYtYhjbfhCSqwlPHKTvJQ9xoR3YMH5ZxLkzoXTWrRLddXOR5emEsashIJSbA&#10;iCyV1gN28SfsrtY+PqaKpK4hOf978pCRTgYThuRGGXBvAehQ9KzKLv5IUkdNZGkD1WHtiINO297y&#10;O4WEr5gPa+ZQzCh7bNDwgIPU0JYUeouSGtzPt/ZjPGoMvZS02Bwl9T+2zAlK9BeD6rsqJpPYTWkx&#10;ufg0xoU792zOPWbb3AA+U4FfgeXJjPFBH03poHnGPl7GU9HFDMezS8qDOy5uQte0+BNwsVymMOwg&#10;y8LKPFoewSOrUUtP+2fmbK+6gHK9h2Mjsdkr3XWxMdPAchtAqiTKE68939h9STj9TxHb+3ydok7/&#10;2eIXAAAA//8DAFBLAwQUAAYACAAAACEAHaVTdtsAAAAHAQAADwAAAGRycy9kb3ducmV2LnhtbEyP&#10;wU7DMBBE70j8g7VI3KhDG7VNiFMhpJ7KhRRxduJtHBGvI9ttw9+zPcFxdlYzb6rd7EZxwRAHTwqe&#10;FxkIpM6bgXoFn8f90xZETJqMHj2hgh+MsKvv7ypdGn+lD7w0qRccQrHUCmxKUyll7Cw6HRd+QmLv&#10;5IPTiWXopQn6yuFulMssW0unB+IGqyd8s9h9N2fHvcXxcAoBv2xT7PODXhfvbW+UenyYX19AJJzT&#10;3zPc8BkdamZq/ZlMFKMCHpL4us1B3NxVttmAaBWsljnIupL/+etfAAAA//8DAFBLAQItABQABgAI&#10;AAAAIQC2gziS/gAAAOEBAAATAAAAAAAAAAAAAAAAAAAAAABbQ29udGVudF9UeXBlc10ueG1sUEsB&#10;Ai0AFAAGAAgAAAAhADj9If/WAAAAlAEAAAsAAAAAAAAAAAAAAAAALwEAAF9yZWxzLy5yZWxzUEsB&#10;Ai0AFAAGAAgAAAAhAAxmU55dAgAAFwUAAA4AAAAAAAAAAAAAAAAALgIAAGRycy9lMm9Eb2MueG1s&#10;UEsBAi0AFAAGAAgAAAAhAB2lU3bbAAAABwEAAA8AAAAAAAAAAAAAAAAAtwQAAGRycy9kb3ducmV2&#10;LnhtbFBLBQYAAAAABAAEAPMAAAC/BQAAAAA=&#10;" path="m1100701,34070r6102640,l7203341,55026r-6102640,l1100701,34070xe" fillcolor="#ed7d31 [3205]" strokecolor="#261103 [485]" strokeweight="1pt">
              <v:stroke joinstyle="miter"/>
              <v:path arrowok="t" o:connecttype="custom" o:connectlocs="1100701,34070;7203341,34070;7203341,55026;1100701,55026;1100701,34070" o:connectangles="0,0,0,0,0"/>
              <w10:wrap anchorx="margin"/>
            </v:shape>
          </w:pict>
        </mc:Fallback>
      </mc:AlternateContent>
    </w:r>
  </w:p>
  <w:p w14:paraId="31B9A59A" w14:textId="03D7F087" w:rsidR="006B785B" w:rsidRPr="006B785B" w:rsidRDefault="006B785B" w:rsidP="006B785B">
    <w:pPr>
      <w:jc w:val="center"/>
      <w:rPr>
        <w:rFonts w:asciiTheme="majorBidi" w:hAnsiTheme="majorBidi" w:cstheme="majorBidi"/>
        <w:b/>
        <w:bCs/>
        <w:sz w:val="24"/>
        <w:szCs w:val="24"/>
        <w:rtl/>
      </w:rPr>
    </w:pPr>
    <w:r w:rsidRPr="006B785B">
      <w:rPr>
        <w:rFonts w:asciiTheme="majorBidi" w:hAnsiTheme="majorBidi" w:cstheme="majorBidi"/>
        <w:b/>
        <w:bCs/>
        <w:sz w:val="24"/>
        <w:szCs w:val="24"/>
      </w:rPr>
      <w:t>Le rôle médiateur de la qualité de service dans la relation entre la gestion de la qualité totale (TQM) et la performance bancaire : étude empirique du secteur bancaire mauritanien.</w:t>
    </w:r>
  </w:p>
  <w:p w14:paraId="5377E694" w14:textId="452E76EA" w:rsidR="002F613D" w:rsidRDefault="006B785B" w:rsidP="006B785B">
    <w:pPr>
      <w:pStyle w:val="En-tte"/>
      <w:jc w:val="center"/>
      <w:rPr>
        <w:rFonts w:asciiTheme="majorBidi" w:hAnsiTheme="majorBidi" w:cstheme="majorBidi"/>
        <w:b/>
        <w:bCs/>
        <w:sz w:val="24"/>
        <w:szCs w:val="24"/>
        <w:lang w:val="en-US"/>
      </w:rPr>
    </w:pPr>
    <w:r w:rsidRPr="006B785B">
      <w:rPr>
        <w:rFonts w:asciiTheme="majorBidi" w:hAnsiTheme="majorBidi" w:cstheme="majorBidi"/>
        <w:b/>
        <w:bCs/>
        <w:sz w:val="24"/>
        <w:szCs w:val="24"/>
        <w:lang w:val="en-US"/>
      </w:rPr>
      <w:t>The Mediating Role of Service Quality in the Relationship between Total Quality Management (TQM) and Banking Performance: An Empirical Study of the Mauritanian Banking Sector</w:t>
    </w:r>
    <w:r>
      <w:rPr>
        <w:rFonts w:asciiTheme="majorBidi" w:hAnsiTheme="majorBidi" w:cstheme="majorBidi"/>
        <w:b/>
        <w:bCs/>
        <w:sz w:val="24"/>
        <w:szCs w:val="24"/>
        <w:lang w:val="en-US"/>
      </w:rPr>
      <w:t>.</w:t>
    </w:r>
  </w:p>
  <w:p w14:paraId="4B3F176D" w14:textId="77777777" w:rsidR="00847F93" w:rsidRDefault="00847F93" w:rsidP="006B785B">
    <w:pPr>
      <w:pStyle w:val="En-tte"/>
      <w:jc w:val="center"/>
      <w:rPr>
        <w:rFonts w:asciiTheme="majorBidi" w:hAnsiTheme="majorBidi" w:cstheme="majorBidi"/>
        <w:b/>
        <w:bCs/>
        <w:sz w:val="24"/>
        <w:szCs w:val="24"/>
        <w:lang w:val="en-US"/>
      </w:rPr>
    </w:pPr>
  </w:p>
  <w:p w14:paraId="43796105" w14:textId="1BB494BB" w:rsidR="006B785B" w:rsidRPr="00847F93" w:rsidRDefault="006B785B" w:rsidP="006B785B">
    <w:pPr>
      <w:pStyle w:val="En-tte"/>
      <w:jc w:val="center"/>
      <w:rPr>
        <w:rFonts w:asciiTheme="majorBidi" w:hAnsiTheme="majorBidi" w:cstheme="majorBidi"/>
        <w:b/>
        <w:bCs/>
        <w:color w:val="002060"/>
        <w:sz w:val="24"/>
        <w:szCs w:val="24"/>
        <w:lang w:val="en-US"/>
      </w:rPr>
    </w:pPr>
    <w:r w:rsidRPr="00847F93">
      <w:rPr>
        <w:rFonts w:asciiTheme="majorBidi" w:hAnsiTheme="majorBidi" w:cstheme="majorBidi"/>
        <w:b/>
        <w:bCs/>
        <w:color w:val="002060"/>
        <w:sz w:val="24"/>
        <w:szCs w:val="24"/>
        <w:lang w:val="en-US"/>
      </w:rPr>
      <w:t>Mohamed Taleb Sidi</w:t>
    </w:r>
  </w:p>
  <w:p w14:paraId="114C78B7" w14:textId="0759DA6A" w:rsidR="006B785B" w:rsidRPr="006B785B" w:rsidRDefault="006B785B" w:rsidP="006B785B">
    <w:pPr>
      <w:pStyle w:val="En-tte"/>
      <w:jc w:val="center"/>
      <w:rPr>
        <w:rFonts w:asciiTheme="majorBidi" w:hAnsiTheme="majorBidi" w:cstheme="majorBidi"/>
        <w:b/>
        <w:bCs/>
        <w:sz w:val="24"/>
        <w:szCs w:val="24"/>
        <w:lang w:val="en-US"/>
      </w:rPr>
    </w:pPr>
    <w:hyperlink r:id="rId1" w:history="1">
      <w:r w:rsidRPr="006B785B">
        <w:rPr>
          <w:rStyle w:val="Lienhypertexte"/>
          <w:rFonts w:asciiTheme="majorBidi" w:hAnsiTheme="majorBidi" w:cstheme="majorBidi"/>
          <w:b/>
          <w:bCs/>
          <w:sz w:val="24"/>
          <w:szCs w:val="24"/>
          <w:lang w:val="en-US"/>
        </w:rPr>
        <w:t>mdtalebsidi@gmail.com</w:t>
      </w:r>
    </w:hyperlink>
  </w:p>
  <w:p w14:paraId="574E1202" w14:textId="5736057F" w:rsidR="006B785B" w:rsidRDefault="00847F93" w:rsidP="006B785B">
    <w:pPr>
      <w:pStyle w:val="En-tte"/>
      <w:jc w:val="center"/>
      <w:rPr>
        <w:rFonts w:asciiTheme="majorBidi" w:hAnsiTheme="majorBidi" w:cstheme="majorBidi"/>
        <w:b/>
        <w:bCs/>
        <w:sz w:val="24"/>
        <w:szCs w:val="24"/>
      </w:rPr>
    </w:pPr>
    <w:r w:rsidRPr="002F613D">
      <w:rPr>
        <w:rFonts w:asciiTheme="majorBidi" w:hAnsiTheme="majorBidi" w:cstheme="majorBidi"/>
        <w:b/>
        <w:bCs/>
        <w:noProof/>
        <w:sz w:val="24"/>
        <w:szCs w:val="24"/>
      </w:rPr>
      <mc:AlternateContent>
        <mc:Choice Requires="wps">
          <w:drawing>
            <wp:anchor distT="0" distB="0" distL="114300" distR="114300" simplePos="0" relativeHeight="251663360" behindDoc="1" locked="0" layoutInCell="1" allowOverlap="1" wp14:anchorId="08D1A65E" wp14:editId="61300CA3">
              <wp:simplePos x="0" y="0"/>
              <wp:positionH relativeFrom="margin">
                <wp:posOffset>-1207282</wp:posOffset>
              </wp:positionH>
              <wp:positionV relativeFrom="paragraph">
                <wp:posOffset>229479</wp:posOffset>
              </wp:positionV>
              <wp:extent cx="8304042" cy="89096"/>
              <wp:effectExtent l="0" t="0" r="0" b="6350"/>
              <wp:wrapNone/>
              <wp:docPr id="2129231415" name="Signe Moins 9"/>
              <wp:cNvGraphicFramePr/>
              <a:graphic xmlns:a="http://schemas.openxmlformats.org/drawingml/2006/main">
                <a:graphicData uri="http://schemas.microsoft.com/office/word/2010/wordprocessingShape">
                  <wps:wsp>
                    <wps:cNvSpPr/>
                    <wps:spPr>
                      <a:xfrm>
                        <a:off x="0" y="0"/>
                        <a:ext cx="8304042" cy="89096"/>
                      </a:xfrm>
                      <a:prstGeom prst="mathMinus">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33C9E" id="Signe Moins 9" o:spid="_x0000_s1026" style="position:absolute;margin-left:-95.05pt;margin-top:18.05pt;width:653.85pt;height:7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8304042,89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OeXQIAABcFAAAOAAAAZHJzL2Uyb0RvYy54bWysVFFv2yAQfp+0/4B4X2xnaZdGcaqoVadJ&#10;WRutnfpMMNRImGNA4mS/fgd2nKirNmnaCxzc3cfx8R3z632jyU44r8CUtBjllAjDoVLmpaTfn+4+&#10;TCnxgZmKaTCipAfh6fXi/bt5a2diDDXoSjiCIMbPWlvSOgQ7yzLPa9EwPwIrDDoluIYFXLqXrHKs&#10;RfRGZ+M8v8xacJV1wIX3uHvbOeki4UspeHiQ0otAdEmxtpBGl8ZNHLPFnM1eHLO14n0Z7B+qaJgy&#10;eOgAdcsCI1unfoNqFHfgQYYRhyYDKRUX6Q54myJ/dZvHmlmR7oLkeDvQ5P8fLL/fPdq1Qxpa62ce&#10;zXiLvXRNnLE+sk9kHQayxD4QjpvTj/kkn4wp4eibXuVXl5HM7JRsnQ+fBTQkGiXFB6y/KrP1iSe2&#10;W/nQxR/jMPlUQ7LCQYtYhjbfhCSqwlPHKTvJQ9xoR3YMH5ZxLkzoXTWrRLddXOR5emEsashIJSbA&#10;iCyV1gN28SfsrtY+PqaKpK4hOf978pCRTgYThuRGGXBvAehQ9KzKLv5IUkdNZGkD1WHtiINO297y&#10;O4WEr5gPa+ZQzCh7bNDwgIPU0JYUeouSGtzPt/ZjPGoMvZS02Bwl9T+2zAlK9BeD6rsqJpPYTWkx&#10;ufg0xoU792zOPWbb3AA+U4FfgeXJjPFBH03poHnGPl7GU9HFDMezS8qDOy5uQte0+BNwsVymMOwg&#10;y8LKPFoewSOrUUtP+2fmbK+6gHK9h2Mjsdkr3XWxMdPAchtAqiTKE68939h9STj9TxHb+3ydok7/&#10;2eIXAAAA//8DAFBLAwQUAAYACAAAACEATJrzPd0AAAALAQAADwAAAGRycy9kb3ducmV2LnhtbEyP&#10;y07DMBBF90j8gzVI7FonPAIJcSqE1FXZkCLWTjyNI+JxZLtt+HumK1iNRvfoPurN4iZxwhBHTwry&#10;dQYCqfdmpEHB5367egYRkyajJ0+o4AcjbJrrq1pXxp/pA09tGgSbUKy0ApvSXEkZe4tOx7WfkVg7&#10;+OB04jcM0gR9ZnM3ybssK6TTI3GC1TO+Wey/26Pj3HK/O4SAX7Yttw87XZTv3WCUur1ZXl9AJFzS&#10;HwyX+lwdGu7U+SOZKCYFq7zMcmYV3Bd8L0SePxUgOgWPrMimlv83NL8AAAD//wMAUEsBAi0AFAAG&#10;AAgAAAAhALaDOJL+AAAA4QEAABMAAAAAAAAAAAAAAAAAAAAAAFtDb250ZW50X1R5cGVzXS54bWxQ&#10;SwECLQAUAAYACAAAACEAOP0h/9YAAACUAQAACwAAAAAAAAAAAAAAAAAvAQAAX3JlbHMvLnJlbHNQ&#10;SwECLQAUAAYACAAAACEADGZTnl0CAAAXBQAADgAAAAAAAAAAAAAAAAAuAgAAZHJzL2Uyb0RvYy54&#10;bWxQSwECLQAUAAYACAAAACEATJrzPd0AAAALAQAADwAAAAAAAAAAAAAAAAC3BAAAZHJzL2Rvd25y&#10;ZXYueG1sUEsFBgAAAAAEAAQA8wAAAMEFAAAAAA==&#10;" path="m1100701,34070r6102640,l7203341,55026r-6102640,l1100701,34070xe" fillcolor="#ed7d31 [3205]" strokecolor="#261103 [485]" strokeweight="1pt">
              <v:stroke joinstyle="miter"/>
              <v:path arrowok="t" o:connecttype="custom" o:connectlocs="1100701,34070;7203341,34070;7203341,55026;1100701,55026;1100701,34070" o:connectangles="0,0,0,0,0"/>
              <w10:wrap anchorx="margin"/>
            </v:shape>
          </w:pict>
        </mc:Fallback>
      </mc:AlternateContent>
    </w:r>
    <w:r w:rsidR="006B785B" w:rsidRPr="006B785B">
      <w:rPr>
        <w:rFonts w:asciiTheme="majorBidi" w:hAnsiTheme="majorBidi" w:cstheme="majorBidi"/>
        <w:b/>
        <w:bCs/>
        <w:sz w:val="24"/>
        <w:szCs w:val="24"/>
      </w:rPr>
      <w:t>Sous la supervision du</w:t>
    </w:r>
    <w:r w:rsidR="006B785B">
      <w:rPr>
        <w:rFonts w:asciiTheme="majorBidi" w:hAnsiTheme="majorBidi" w:cstheme="majorBidi" w:hint="cs"/>
        <w:b/>
        <w:bCs/>
        <w:sz w:val="24"/>
        <w:szCs w:val="24"/>
        <w:rtl/>
      </w:rPr>
      <w:t xml:space="preserve"> </w:t>
    </w:r>
    <w:r w:rsidR="006B785B" w:rsidRPr="00847F93">
      <w:rPr>
        <w:rFonts w:asciiTheme="majorBidi" w:hAnsiTheme="majorBidi" w:cstheme="majorBidi"/>
        <w:b/>
        <w:bCs/>
        <w:color w:val="002060"/>
        <w:sz w:val="24"/>
        <w:szCs w:val="24"/>
        <w:lang w:val="fr-CA"/>
      </w:rPr>
      <w:t xml:space="preserve">Pr. </w:t>
    </w:r>
    <w:r w:rsidR="006B785B" w:rsidRPr="00847F93">
      <w:rPr>
        <w:rFonts w:asciiTheme="majorBidi" w:hAnsiTheme="majorBidi" w:cstheme="majorBidi"/>
        <w:b/>
        <w:bCs/>
        <w:color w:val="002060"/>
        <w:sz w:val="24"/>
        <w:szCs w:val="24"/>
      </w:rPr>
      <w:t xml:space="preserve">Younes </w:t>
    </w:r>
    <w:proofErr w:type="spellStart"/>
    <w:r w:rsidR="006B785B" w:rsidRPr="00847F93">
      <w:rPr>
        <w:rFonts w:asciiTheme="majorBidi" w:hAnsiTheme="majorBidi" w:cstheme="majorBidi"/>
        <w:b/>
        <w:bCs/>
        <w:color w:val="002060"/>
        <w:sz w:val="24"/>
        <w:szCs w:val="24"/>
      </w:rPr>
      <w:t>Boujelbene</w:t>
    </w:r>
    <w:proofErr w:type="spellEnd"/>
  </w:p>
  <w:p w14:paraId="576CE879" w14:textId="2CB2821B" w:rsidR="006B785B" w:rsidRPr="006B785B" w:rsidRDefault="006B785B" w:rsidP="006B785B">
    <w:pPr>
      <w:pStyle w:val="En-tte"/>
      <w:jc w:val="center"/>
      <w:rPr>
        <w:rFonts w:asciiTheme="majorBidi" w:hAnsiTheme="majorBidi" w:cstheme="majorBidi"/>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030E00"/>
    <w:multiLevelType w:val="multilevel"/>
    <w:tmpl w:val="AB58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E40C90"/>
    <w:multiLevelType w:val="multilevel"/>
    <w:tmpl w:val="67F6B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0924979">
    <w:abstractNumId w:val="1"/>
  </w:num>
  <w:num w:numId="2" w16cid:durableId="1573353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F08"/>
    <w:rsid w:val="0007083D"/>
    <w:rsid w:val="001142DA"/>
    <w:rsid w:val="00180A8D"/>
    <w:rsid w:val="001C2BA9"/>
    <w:rsid w:val="002F613D"/>
    <w:rsid w:val="003A6D9C"/>
    <w:rsid w:val="00425935"/>
    <w:rsid w:val="004C0DEC"/>
    <w:rsid w:val="004D4085"/>
    <w:rsid w:val="0059445E"/>
    <w:rsid w:val="005E44FA"/>
    <w:rsid w:val="006B785B"/>
    <w:rsid w:val="00723F08"/>
    <w:rsid w:val="00776963"/>
    <w:rsid w:val="00847F93"/>
    <w:rsid w:val="009A60F1"/>
    <w:rsid w:val="00B375C1"/>
    <w:rsid w:val="00B83B13"/>
    <w:rsid w:val="00C04A42"/>
    <w:rsid w:val="00CC5AE9"/>
    <w:rsid w:val="00D052A2"/>
    <w:rsid w:val="00D3480A"/>
    <w:rsid w:val="00D82578"/>
    <w:rsid w:val="00DC0157"/>
    <w:rsid w:val="00DE22B5"/>
    <w:rsid w:val="00DE6527"/>
    <w:rsid w:val="00E504E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9BC6B"/>
  <w15:chartTrackingRefBased/>
  <w15:docId w15:val="{972EA936-8B24-45C1-BABD-971ACECDC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23F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23F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723F0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unhideWhenUsed/>
    <w:qFormat/>
    <w:rsid w:val="00723F08"/>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23F08"/>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23F0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23F0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23F0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23F0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23F08"/>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23F0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723F08"/>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rsid w:val="00723F08"/>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23F08"/>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23F0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23F0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23F0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23F08"/>
    <w:rPr>
      <w:rFonts w:eastAsiaTheme="majorEastAsia" w:cstheme="majorBidi"/>
      <w:color w:val="272727" w:themeColor="text1" w:themeTint="D8"/>
    </w:rPr>
  </w:style>
  <w:style w:type="paragraph" w:styleId="Titre">
    <w:name w:val="Title"/>
    <w:basedOn w:val="Normal"/>
    <w:next w:val="Normal"/>
    <w:link w:val="TitreCar"/>
    <w:uiPriority w:val="10"/>
    <w:qFormat/>
    <w:rsid w:val="00723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23F0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23F0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23F0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23F08"/>
    <w:pPr>
      <w:spacing w:before="160"/>
      <w:jc w:val="center"/>
    </w:pPr>
    <w:rPr>
      <w:i/>
      <w:iCs/>
      <w:color w:val="404040" w:themeColor="text1" w:themeTint="BF"/>
    </w:rPr>
  </w:style>
  <w:style w:type="character" w:customStyle="1" w:styleId="CitationCar">
    <w:name w:val="Citation Car"/>
    <w:basedOn w:val="Policepardfaut"/>
    <w:link w:val="Citation"/>
    <w:uiPriority w:val="29"/>
    <w:rsid w:val="00723F08"/>
    <w:rPr>
      <w:i/>
      <w:iCs/>
      <w:color w:val="404040" w:themeColor="text1" w:themeTint="BF"/>
    </w:rPr>
  </w:style>
  <w:style w:type="paragraph" w:styleId="Paragraphedeliste">
    <w:name w:val="List Paragraph"/>
    <w:basedOn w:val="Normal"/>
    <w:uiPriority w:val="34"/>
    <w:qFormat/>
    <w:rsid w:val="00723F08"/>
    <w:pPr>
      <w:ind w:left="720"/>
      <w:contextualSpacing/>
    </w:pPr>
  </w:style>
  <w:style w:type="character" w:styleId="Accentuationintense">
    <w:name w:val="Intense Emphasis"/>
    <w:basedOn w:val="Policepardfaut"/>
    <w:uiPriority w:val="21"/>
    <w:qFormat/>
    <w:rsid w:val="00723F08"/>
    <w:rPr>
      <w:i/>
      <w:iCs/>
      <w:color w:val="2F5496" w:themeColor="accent1" w:themeShade="BF"/>
    </w:rPr>
  </w:style>
  <w:style w:type="paragraph" w:styleId="Citationintense">
    <w:name w:val="Intense Quote"/>
    <w:basedOn w:val="Normal"/>
    <w:next w:val="Normal"/>
    <w:link w:val="CitationintenseCar"/>
    <w:uiPriority w:val="30"/>
    <w:qFormat/>
    <w:rsid w:val="00723F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23F08"/>
    <w:rPr>
      <w:i/>
      <w:iCs/>
      <w:color w:val="2F5496" w:themeColor="accent1" w:themeShade="BF"/>
    </w:rPr>
  </w:style>
  <w:style w:type="character" w:styleId="Rfrenceintense">
    <w:name w:val="Intense Reference"/>
    <w:basedOn w:val="Policepardfaut"/>
    <w:uiPriority w:val="32"/>
    <w:qFormat/>
    <w:rsid w:val="00723F08"/>
    <w:rPr>
      <w:b/>
      <w:bCs/>
      <w:smallCaps/>
      <w:color w:val="2F5496" w:themeColor="accent1" w:themeShade="BF"/>
      <w:spacing w:val="5"/>
    </w:rPr>
  </w:style>
  <w:style w:type="table" w:styleId="Grilledutableau">
    <w:name w:val="Table Grid"/>
    <w:basedOn w:val="TableauNormal"/>
    <w:uiPriority w:val="39"/>
    <w:rsid w:val="00DE2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D3480A"/>
    <w:rPr>
      <w:b/>
      <w:bCs/>
    </w:rPr>
  </w:style>
  <w:style w:type="paragraph" w:styleId="NormalWeb">
    <w:name w:val="Normal (Web)"/>
    <w:basedOn w:val="Normal"/>
    <w:uiPriority w:val="99"/>
    <w:semiHidden/>
    <w:unhideWhenUsed/>
    <w:rsid w:val="00D3480A"/>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En-tte">
    <w:name w:val="header"/>
    <w:basedOn w:val="Normal"/>
    <w:link w:val="En-tteCar"/>
    <w:uiPriority w:val="99"/>
    <w:unhideWhenUsed/>
    <w:rsid w:val="0007083D"/>
    <w:pPr>
      <w:tabs>
        <w:tab w:val="center" w:pos="4536"/>
        <w:tab w:val="right" w:pos="9072"/>
      </w:tabs>
      <w:spacing w:after="0" w:line="240" w:lineRule="auto"/>
    </w:pPr>
  </w:style>
  <w:style w:type="character" w:customStyle="1" w:styleId="En-tteCar">
    <w:name w:val="En-tête Car"/>
    <w:basedOn w:val="Policepardfaut"/>
    <w:link w:val="En-tte"/>
    <w:uiPriority w:val="99"/>
    <w:rsid w:val="0007083D"/>
  </w:style>
  <w:style w:type="paragraph" w:styleId="Pieddepage">
    <w:name w:val="footer"/>
    <w:basedOn w:val="Normal"/>
    <w:link w:val="PieddepageCar"/>
    <w:uiPriority w:val="99"/>
    <w:unhideWhenUsed/>
    <w:rsid w:val="000708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083D"/>
  </w:style>
  <w:style w:type="character" w:styleId="Lienhypertexte">
    <w:name w:val="Hyperlink"/>
    <w:basedOn w:val="Policepardfaut"/>
    <w:uiPriority w:val="99"/>
    <w:unhideWhenUsed/>
    <w:rsid w:val="006B785B"/>
    <w:rPr>
      <w:color w:val="0563C1" w:themeColor="hyperlink"/>
      <w:u w:val="single"/>
    </w:rPr>
  </w:style>
  <w:style w:type="character" w:styleId="Mentionnonrsolue">
    <w:name w:val="Unresolved Mention"/>
    <w:basedOn w:val="Policepardfaut"/>
    <w:uiPriority w:val="99"/>
    <w:semiHidden/>
    <w:unhideWhenUsed/>
    <w:rsid w:val="006B78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mailto:mdtalebsidi@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A542F-1747-462C-AB2F-E12D11DD6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21</Pages>
  <Words>9288</Words>
  <Characters>51090</Characters>
  <Application>Microsoft Office Word</Application>
  <DocSecurity>0</DocSecurity>
  <Lines>425</Lines>
  <Paragraphs>120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mdtalebsidi@gmail.com</dc:creator>
  <cp:keywords/>
  <dc:description/>
  <cp:lastModifiedBy>mdtalebsidi@gmail.com</cp:lastModifiedBy>
  <cp:revision>8</cp:revision>
  <dcterms:created xsi:type="dcterms:W3CDTF">2026-01-23T06:04:00Z</dcterms:created>
  <dcterms:modified xsi:type="dcterms:W3CDTF">2026-01-23T10:49:00Z</dcterms:modified>
</cp:coreProperties>
</file>